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48D83" w14:textId="58CEA17C" w:rsidR="00C52AC8" w:rsidRPr="001958B8" w:rsidRDefault="008F09C1" w:rsidP="001958B8">
      <w:pPr>
        <w:pStyle w:val="Heading1"/>
        <w:jc w:val="center"/>
        <w:rPr>
          <w:b/>
          <w:bCs/>
          <w:sz w:val="72"/>
          <w:szCs w:val="72"/>
        </w:rPr>
      </w:pPr>
      <w:bookmarkStart w:id="0" w:name="_Hlk160787308"/>
      <w:r w:rsidRPr="001958B8">
        <w:rPr>
          <w:b/>
          <w:bCs/>
          <w:sz w:val="72"/>
          <w:szCs w:val="72"/>
        </w:rPr>
        <w:t xml:space="preserve">County-Specific Net Migration by </w:t>
      </w:r>
      <w:r w:rsidR="009D0541">
        <w:rPr>
          <w:b/>
          <w:bCs/>
          <w:sz w:val="72"/>
          <w:szCs w:val="72"/>
        </w:rPr>
        <w:t xml:space="preserve">Age, </w:t>
      </w:r>
      <w:r w:rsidR="002872EB" w:rsidRPr="001958B8">
        <w:rPr>
          <w:b/>
          <w:bCs/>
          <w:sz w:val="72"/>
          <w:szCs w:val="72"/>
        </w:rPr>
        <w:t>Sex</w:t>
      </w:r>
      <w:r w:rsidRPr="001958B8">
        <w:rPr>
          <w:b/>
          <w:bCs/>
          <w:sz w:val="72"/>
          <w:szCs w:val="72"/>
        </w:rPr>
        <w:t>,</w:t>
      </w:r>
      <w:r w:rsidR="002872EB" w:rsidRPr="001958B8">
        <w:rPr>
          <w:b/>
          <w:bCs/>
          <w:sz w:val="72"/>
          <w:szCs w:val="72"/>
        </w:rPr>
        <w:t xml:space="preserve"> Race and</w:t>
      </w:r>
      <w:r w:rsidRPr="001958B8">
        <w:rPr>
          <w:b/>
          <w:bCs/>
          <w:sz w:val="72"/>
          <w:szCs w:val="72"/>
        </w:rPr>
        <w:t xml:space="preserve"> Hispanic Origin</w:t>
      </w:r>
      <w:r w:rsidR="00714531" w:rsidRPr="001958B8">
        <w:rPr>
          <w:b/>
          <w:bCs/>
          <w:sz w:val="72"/>
          <w:szCs w:val="72"/>
        </w:rPr>
        <w:t>,</w:t>
      </w:r>
      <w:r w:rsidRPr="001958B8">
        <w:rPr>
          <w:b/>
          <w:bCs/>
          <w:sz w:val="72"/>
          <w:szCs w:val="72"/>
        </w:rPr>
        <w:t xml:space="preserve"> 20</w:t>
      </w:r>
      <w:r w:rsidR="00714531" w:rsidRPr="001958B8">
        <w:rPr>
          <w:b/>
          <w:bCs/>
          <w:sz w:val="72"/>
          <w:szCs w:val="72"/>
        </w:rPr>
        <w:t>1</w:t>
      </w:r>
      <w:r w:rsidRPr="001958B8">
        <w:rPr>
          <w:b/>
          <w:bCs/>
          <w:sz w:val="72"/>
          <w:szCs w:val="72"/>
        </w:rPr>
        <w:t>0-20</w:t>
      </w:r>
      <w:r w:rsidR="00714531" w:rsidRPr="001958B8">
        <w:rPr>
          <w:b/>
          <w:bCs/>
          <w:sz w:val="72"/>
          <w:szCs w:val="72"/>
        </w:rPr>
        <w:t>2</w:t>
      </w:r>
      <w:r w:rsidRPr="001958B8">
        <w:rPr>
          <w:b/>
          <w:bCs/>
          <w:sz w:val="72"/>
          <w:szCs w:val="72"/>
        </w:rPr>
        <w:t>0</w:t>
      </w:r>
    </w:p>
    <w:bookmarkEnd w:id="0"/>
    <w:p w14:paraId="4796C4D2" w14:textId="4117B26C" w:rsidR="00B3096A" w:rsidRPr="001958B8" w:rsidRDefault="001958B8" w:rsidP="001958B8">
      <w:pPr>
        <w:pStyle w:val="Heading2"/>
        <w:jc w:val="center"/>
        <w:rPr>
          <w:sz w:val="36"/>
          <w:szCs w:val="36"/>
        </w:rPr>
      </w:pPr>
      <w:r>
        <w:br/>
      </w:r>
      <w:r>
        <w:br/>
      </w:r>
      <w:r w:rsidR="00B3096A" w:rsidRPr="001958B8">
        <w:rPr>
          <w:sz w:val="36"/>
          <w:szCs w:val="36"/>
        </w:rPr>
        <w:t>Methodology Documentation</w:t>
      </w:r>
    </w:p>
    <w:p w14:paraId="5C8F8285" w14:textId="77777777" w:rsidR="002872EB" w:rsidRDefault="002872EB" w:rsidP="00B3096A"/>
    <w:p w14:paraId="2B55B8D1" w14:textId="26A72DFF" w:rsidR="001958B8" w:rsidRDefault="00CA1D5E" w:rsidP="00B3096A">
      <w:r>
        <w:rPr>
          <w:noProof/>
        </w:rPr>
        <w:drawing>
          <wp:inline distT="0" distB="0" distL="0" distR="0" wp14:anchorId="769C607B" wp14:editId="3CC5A686">
            <wp:extent cx="5943600" cy="2479040"/>
            <wp:effectExtent l="0" t="0" r="0" b="0"/>
            <wp:docPr id="378026097"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26097" name="Picture 1" descr="A map of the united stat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79040"/>
                    </a:xfrm>
                    <a:prstGeom prst="rect">
                      <a:avLst/>
                    </a:prstGeom>
                  </pic:spPr>
                </pic:pic>
              </a:graphicData>
            </a:graphic>
          </wp:inline>
        </w:drawing>
      </w:r>
    </w:p>
    <w:p w14:paraId="5887607D" w14:textId="77777777" w:rsidR="00584858" w:rsidRDefault="00584858" w:rsidP="00B3096A"/>
    <w:p w14:paraId="462F694E" w14:textId="77777777" w:rsidR="00584858" w:rsidRDefault="00584858" w:rsidP="00B3096A"/>
    <w:p w14:paraId="08668EFA" w14:textId="77777777" w:rsidR="00584858" w:rsidRDefault="00584858" w:rsidP="00B3096A"/>
    <w:p w14:paraId="5F401D1A" w14:textId="77777777" w:rsidR="00584858" w:rsidRDefault="00584858" w:rsidP="00B3096A"/>
    <w:p w14:paraId="4C4A7C3B" w14:textId="77777777" w:rsidR="00CA1D5E" w:rsidRDefault="00CA1D5E" w:rsidP="00B3096A"/>
    <w:p w14:paraId="700B7258" w14:textId="3A40C491" w:rsidR="002872EB" w:rsidRDefault="00584858" w:rsidP="00B3096A">
      <w:r>
        <w:rPr>
          <w:noProof/>
        </w:rPr>
        <w:drawing>
          <wp:anchor distT="0" distB="0" distL="114300" distR="114300" simplePos="0" relativeHeight="251658752" behindDoc="1" locked="0" layoutInCell="1" allowOverlap="1" wp14:anchorId="3FDF9183" wp14:editId="5260DE08">
            <wp:simplePos x="0" y="0"/>
            <wp:positionH relativeFrom="column">
              <wp:posOffset>0</wp:posOffset>
            </wp:positionH>
            <wp:positionV relativeFrom="paragraph">
              <wp:posOffset>57150</wp:posOffset>
            </wp:positionV>
            <wp:extent cx="1225550" cy="838200"/>
            <wp:effectExtent l="0" t="0" r="6350" b="0"/>
            <wp:wrapTight wrapText="bothSides">
              <wp:wrapPolygon edited="0">
                <wp:start x="0" y="0"/>
                <wp:lineTo x="0" y="21273"/>
                <wp:lineTo x="21488" y="21273"/>
                <wp:lineTo x="21488" y="9164"/>
                <wp:lineTo x="20593" y="5236"/>
                <wp:lineTo x="19026" y="0"/>
                <wp:lineTo x="0" y="0"/>
              </wp:wrapPolygon>
            </wp:wrapTight>
            <wp:docPr id="744255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55156" name="Picture 7442551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5550" cy="8382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"https://brand.wisc.edu/content/uploads/2023/09/vert-w-crest-logo-web-digital-color.png" \* MERGEFORMATINET </w:instrText>
      </w:r>
      <w:r>
        <w:fldChar w:fldCharType="separate"/>
      </w:r>
      <w:r>
        <w:rPr>
          <w:noProof/>
        </w:rPr>
        <w:drawing>
          <wp:inline distT="0" distB="0" distL="0" distR="0" wp14:anchorId="463DE5E8" wp14:editId="61C1BE53">
            <wp:extent cx="1409700" cy="939800"/>
            <wp:effectExtent l="0" t="0" r="0" b="0"/>
            <wp:docPr id="1848745220" name="Picture 1" descr="Vertical W crest logo in full color for digital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W crest logo in full color for digital 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8967" cy="972645"/>
                    </a:xfrm>
                    <a:prstGeom prst="rect">
                      <a:avLst/>
                    </a:prstGeom>
                    <a:noFill/>
                    <a:ln>
                      <a:noFill/>
                    </a:ln>
                  </pic:spPr>
                </pic:pic>
              </a:graphicData>
            </a:graphic>
          </wp:inline>
        </w:drawing>
      </w:r>
      <w:r>
        <w:fldChar w:fldCharType="end"/>
      </w:r>
      <w:r w:rsidR="00C00D50">
        <w:rPr>
          <w:noProof/>
        </w:rPr>
        <w:drawing>
          <wp:inline distT="0" distB="0" distL="0" distR="0" wp14:anchorId="5F5055BC" wp14:editId="0F54D3BD">
            <wp:extent cx="1800887" cy="846417"/>
            <wp:effectExtent l="0" t="0" r="2540" b="5080"/>
            <wp:docPr id="911714491" name="Picture 91171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3999" cy="857280"/>
                    </a:xfrm>
                    <a:prstGeom prst="rect">
                      <a:avLst/>
                    </a:prstGeom>
                  </pic:spPr>
                </pic:pic>
              </a:graphicData>
            </a:graphic>
          </wp:inline>
        </w:drawing>
      </w:r>
      <w:r w:rsidR="00574D3E">
        <w:rPr>
          <w:noProof/>
        </w:rPr>
        <w:drawing>
          <wp:inline distT="0" distB="0" distL="0" distR="0" wp14:anchorId="56A4DF42" wp14:editId="769AE555">
            <wp:extent cx="1320679" cy="883920"/>
            <wp:effectExtent l="0" t="0" r="0" b="0"/>
            <wp:docPr id="1178892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0699" cy="897319"/>
                    </a:xfrm>
                    <a:prstGeom prst="rect">
                      <a:avLst/>
                    </a:prstGeom>
                    <a:noFill/>
                  </pic:spPr>
                </pic:pic>
              </a:graphicData>
            </a:graphic>
          </wp:inline>
        </w:drawing>
      </w:r>
    </w:p>
    <w:p w14:paraId="4D034F95" w14:textId="38675210" w:rsidR="00CF31C5" w:rsidRPr="00CA1D5E" w:rsidRDefault="00CA1D5E" w:rsidP="00200AC1">
      <w:pPr>
        <w:pStyle w:val="Heading2"/>
        <w:jc w:val="center"/>
      </w:pPr>
      <w:r w:rsidRPr="00CA1D5E">
        <w:lastRenderedPageBreak/>
        <w:t xml:space="preserve">County-Specific Net Migration by </w:t>
      </w:r>
      <w:r w:rsidR="009D0541">
        <w:t xml:space="preserve">Age, </w:t>
      </w:r>
      <w:r w:rsidRPr="00CA1D5E">
        <w:t>Sex, Race and Hispanic Origin, 2010-2020</w:t>
      </w:r>
    </w:p>
    <w:p w14:paraId="22674745" w14:textId="77777777" w:rsidR="00CA1D5E" w:rsidRDefault="00CA1D5E" w:rsidP="00CF31C5">
      <w:pPr>
        <w:ind w:left="720"/>
      </w:pPr>
    </w:p>
    <w:p w14:paraId="6EBE2508" w14:textId="681C1442" w:rsidR="00CF31C5" w:rsidRDefault="00CA1D5E" w:rsidP="00CA1D5E">
      <w:pPr>
        <w:jc w:val="center"/>
      </w:pPr>
      <w:r>
        <w:t xml:space="preserve">David Egan-Robertson, </w:t>
      </w:r>
      <w:bookmarkStart w:id="1" w:name="_Hlk152242977"/>
      <w:r w:rsidR="00EE4AAD">
        <w:t xml:space="preserve">Applied Population Laboratory, </w:t>
      </w:r>
      <w:r>
        <w:t>University of Wisconsin-Madison</w:t>
      </w:r>
      <w:bookmarkEnd w:id="1"/>
    </w:p>
    <w:p w14:paraId="594D8E64" w14:textId="0A328992" w:rsidR="00CA1D5E" w:rsidRDefault="00CA1D5E" w:rsidP="00CA1D5E">
      <w:pPr>
        <w:jc w:val="center"/>
      </w:pPr>
      <w:r>
        <w:t xml:space="preserve">Katherine J. Curtis, </w:t>
      </w:r>
      <w:r w:rsidR="00EE4AAD">
        <w:t xml:space="preserve">Department of Community and Environmental Sociology, </w:t>
      </w:r>
      <w:r w:rsidR="00EE4AAD">
        <w:br/>
        <w:t>University of Wisconsin-Madison</w:t>
      </w:r>
    </w:p>
    <w:p w14:paraId="2135C639" w14:textId="767CD78B" w:rsidR="00EE4AAD" w:rsidRDefault="00EE4AAD" w:rsidP="00CA1D5E">
      <w:pPr>
        <w:jc w:val="center"/>
      </w:pPr>
      <w:r>
        <w:t xml:space="preserve">Richelle L. Winkler, </w:t>
      </w:r>
      <w:r w:rsidRPr="00EE4AAD">
        <w:t>Economic Research Service</w:t>
      </w:r>
      <w:r>
        <w:t>,</w:t>
      </w:r>
      <w:r w:rsidRPr="00EE4AAD">
        <w:t xml:space="preserve"> </w:t>
      </w:r>
      <w:r>
        <w:t>United States Department of Agriculture</w:t>
      </w:r>
    </w:p>
    <w:p w14:paraId="5D1732A8" w14:textId="2571E494" w:rsidR="00EE4AAD" w:rsidRPr="00785E59" w:rsidRDefault="00EE4AAD" w:rsidP="00CA1D5E">
      <w:pPr>
        <w:jc w:val="center"/>
        <w:rPr>
          <w:rFonts w:cstheme="minorHAnsi"/>
        </w:rPr>
      </w:pPr>
      <w:r>
        <w:t xml:space="preserve">Kenneth M. </w:t>
      </w:r>
      <w:r w:rsidRPr="00785E59">
        <w:rPr>
          <w:rFonts w:cstheme="minorHAnsi"/>
        </w:rPr>
        <w:t xml:space="preserve">Johnson, </w:t>
      </w:r>
      <w:r w:rsidR="00785E59" w:rsidRPr="00785E59">
        <w:rPr>
          <w:rFonts w:cstheme="minorHAnsi"/>
          <w:color w:val="000000"/>
        </w:rPr>
        <w:t>Carsey School and Department of Sociology, University of New Hampshire</w:t>
      </w:r>
    </w:p>
    <w:p w14:paraId="16ABEC01" w14:textId="48DDB633" w:rsidR="2459BF1C" w:rsidRDefault="00E263B0" w:rsidP="2459BF1C">
      <w:pPr>
        <w:jc w:val="center"/>
      </w:pPr>
      <w:r>
        <w:t>June</w:t>
      </w:r>
      <w:r w:rsidR="2459BF1C" w:rsidRPr="2459BF1C">
        <w:t xml:space="preserve"> 2024</w:t>
      </w:r>
    </w:p>
    <w:p w14:paraId="36D8C289" w14:textId="63673EC5" w:rsidR="00EE4AAD" w:rsidRDefault="00EE4AAD" w:rsidP="00CA1D5E"/>
    <w:p w14:paraId="4BC988EF" w14:textId="32CE4DBD" w:rsidR="00705946" w:rsidRDefault="00705946" w:rsidP="00CA1D5E">
      <w:r>
        <w:t>Contact Information:</w:t>
      </w:r>
    </w:p>
    <w:p w14:paraId="385FB47B" w14:textId="68EE5CC8" w:rsidR="00705946" w:rsidRDefault="00705946" w:rsidP="00705946">
      <w:pPr>
        <w:pStyle w:val="NoSpacing"/>
      </w:pPr>
      <w:r w:rsidRPr="00705946">
        <w:t>David Egan-Robertson</w:t>
      </w:r>
      <w:r>
        <w:t>, Demographer</w:t>
      </w:r>
    </w:p>
    <w:p w14:paraId="578D2D0E" w14:textId="261871EC" w:rsidR="00705946" w:rsidRDefault="00705946" w:rsidP="00705946">
      <w:pPr>
        <w:pStyle w:val="NoSpacing"/>
      </w:pPr>
      <w:r>
        <w:t>Applied Population Laboratory</w:t>
      </w:r>
    </w:p>
    <w:p w14:paraId="64DC4AB0" w14:textId="3C7DECB0" w:rsidR="00705946" w:rsidRDefault="00705946" w:rsidP="00705946">
      <w:pPr>
        <w:pStyle w:val="NoSpacing"/>
      </w:pPr>
      <w:r>
        <w:t>Department of Community and Environmental Sociology</w:t>
      </w:r>
    </w:p>
    <w:p w14:paraId="5550E116" w14:textId="33E2ED24" w:rsidR="00705946" w:rsidRDefault="00705946" w:rsidP="00705946">
      <w:pPr>
        <w:pStyle w:val="NoSpacing"/>
      </w:pPr>
      <w:r>
        <w:t>University of Wisconsin-Madison</w:t>
      </w:r>
    </w:p>
    <w:p w14:paraId="3E0FF0B8" w14:textId="158ABF0A" w:rsidR="00705946" w:rsidRDefault="00705946" w:rsidP="00705946">
      <w:pPr>
        <w:pStyle w:val="NoSpacing"/>
      </w:pPr>
      <w:r>
        <w:t>608-890-2077</w:t>
      </w:r>
    </w:p>
    <w:p w14:paraId="6603533A" w14:textId="0573CA50" w:rsidR="00705946" w:rsidRDefault="00000000" w:rsidP="00705946">
      <w:pPr>
        <w:pStyle w:val="NoSpacing"/>
      </w:pPr>
      <w:hyperlink r:id="rId13" w:history="1">
        <w:r w:rsidR="00705946" w:rsidRPr="00B83BAE">
          <w:rPr>
            <w:rStyle w:val="Hyperlink"/>
          </w:rPr>
          <w:t>daeganrobert@wisc.edu</w:t>
        </w:r>
      </w:hyperlink>
    </w:p>
    <w:p w14:paraId="588CC8C5" w14:textId="77777777" w:rsidR="00705946" w:rsidRPr="00705946" w:rsidRDefault="00705946" w:rsidP="00705946">
      <w:pPr>
        <w:pStyle w:val="NoSpacing"/>
      </w:pPr>
    </w:p>
    <w:p w14:paraId="05CBBCC2" w14:textId="77777777" w:rsidR="00705946" w:rsidRPr="00705946" w:rsidRDefault="00705946" w:rsidP="00705946">
      <w:pPr>
        <w:pStyle w:val="NoSpacing"/>
      </w:pPr>
    </w:p>
    <w:p w14:paraId="755B4FAB" w14:textId="171F7BFA" w:rsidR="00CF31C5" w:rsidRDefault="36DDDDC0" w:rsidP="00705946">
      <w:pPr>
        <w:pStyle w:val="NoSpacing"/>
      </w:pPr>
      <w:r>
        <w:t>Funding Support:</w:t>
      </w:r>
    </w:p>
    <w:p w14:paraId="1A0E1F08" w14:textId="4F871CAA" w:rsidR="00705946" w:rsidRPr="00705946" w:rsidRDefault="00705946" w:rsidP="00705946">
      <w:pPr>
        <w:pStyle w:val="NoSpacing"/>
        <w:numPr>
          <w:ilvl w:val="0"/>
          <w:numId w:val="7"/>
        </w:numPr>
      </w:pPr>
      <w:r>
        <w:t>U.S. Department of Agriculture, Economic Research Service, Cooperative Agreement</w:t>
      </w:r>
      <w:r>
        <w:rPr>
          <w:rFonts w:eastAsia="Times New Roman"/>
        </w:rPr>
        <w:br/>
        <w:t xml:space="preserve"> 58-6000-9-0043</w:t>
      </w:r>
    </w:p>
    <w:p w14:paraId="71295E27" w14:textId="589B8258" w:rsidR="00785E59" w:rsidRDefault="00705946" w:rsidP="00785E59">
      <w:pPr>
        <w:pStyle w:val="NoSpacing"/>
        <w:numPr>
          <w:ilvl w:val="0"/>
          <w:numId w:val="7"/>
        </w:numPr>
        <w:rPr>
          <w:rStyle w:val="pseditboxdisponly"/>
        </w:rPr>
      </w:pPr>
      <w:r>
        <w:t>Eunice Kennedy Shriver</w:t>
      </w:r>
      <w:r w:rsidR="000B684C">
        <w:t xml:space="preserve"> National Institute of Child Health and Human Development, </w:t>
      </w:r>
      <w:r w:rsidR="00785E59">
        <w:t xml:space="preserve">Research </w:t>
      </w:r>
      <w:r w:rsidR="000B684C">
        <w:t xml:space="preserve">Grant </w:t>
      </w:r>
      <w:r w:rsidR="000B684C">
        <w:rPr>
          <w:rStyle w:val="pseditboxdisponly"/>
        </w:rPr>
        <w:t>1R03HD100772-01</w:t>
      </w:r>
    </w:p>
    <w:p w14:paraId="0AE63FDC" w14:textId="66B452F4" w:rsidR="00785E59" w:rsidRDefault="00785E59" w:rsidP="00785E59">
      <w:pPr>
        <w:pStyle w:val="NoSpacing"/>
        <w:numPr>
          <w:ilvl w:val="0"/>
          <w:numId w:val="7"/>
        </w:numPr>
        <w:rPr>
          <w:rStyle w:val="pseditboxdisponly"/>
        </w:rPr>
      </w:pPr>
      <w:r>
        <w:rPr>
          <w:rStyle w:val="pseditboxdisponly"/>
        </w:rPr>
        <w:t xml:space="preserve">Curtis received additional support to conduct this research through </w:t>
      </w:r>
      <w:r>
        <w:t>Eunice Kennedy Shriver National Institute of Child Health and Human Development</w:t>
      </w:r>
      <w:r>
        <w:rPr>
          <w:rStyle w:val="pseditboxdisponly"/>
        </w:rPr>
        <w:t xml:space="preserve"> Center Grant P2C HD047873 awarded to the Center for Demography and Ecology, the Wisconsin Agricultural Experiment Station, and the University of Wisconsin Foundation</w:t>
      </w:r>
    </w:p>
    <w:p w14:paraId="076D539E" w14:textId="77777777" w:rsidR="00785E59" w:rsidRDefault="00785E59" w:rsidP="00785E59">
      <w:pPr>
        <w:pStyle w:val="NoSpacing"/>
        <w:ind w:left="720"/>
        <w:rPr>
          <w:rStyle w:val="pseditboxdisponly"/>
        </w:rPr>
      </w:pPr>
    </w:p>
    <w:p w14:paraId="71B48D71" w14:textId="75F5B485" w:rsidR="000B684C" w:rsidRDefault="000B684C" w:rsidP="000B684C">
      <w:pPr>
        <w:pStyle w:val="NoSpacing"/>
      </w:pPr>
      <w:r>
        <w:t>The content is solely the responsibility of the authors and does not necessarily represent the official views of the U.S. Department of Agriculture or the Eunice Kennedy Shriver National Institute of Child Health and Human Development.</w:t>
      </w:r>
    </w:p>
    <w:p w14:paraId="2A331CEF" w14:textId="57FBE7D4" w:rsidR="00705946" w:rsidRDefault="00705946" w:rsidP="00705946">
      <w:pPr>
        <w:pStyle w:val="NoSpacing"/>
      </w:pPr>
    </w:p>
    <w:p w14:paraId="7EAF4956" w14:textId="77777777" w:rsidR="00E263B0" w:rsidRDefault="00E263B0">
      <w:pPr>
        <w:sectPr w:rsidR="00E263B0" w:rsidSect="00760C99">
          <w:footerReference w:type="default" r:id="rId14"/>
          <w:type w:val="oddPage"/>
          <w:pgSz w:w="12240" w:h="15840"/>
          <w:pgMar w:top="1440" w:right="1440" w:bottom="1440" w:left="1440" w:header="720" w:footer="720" w:gutter="0"/>
          <w:cols w:space="720"/>
          <w:docGrid w:linePitch="360"/>
        </w:sectPr>
      </w:pPr>
    </w:p>
    <w:p w14:paraId="109A2593" w14:textId="7CA3A102" w:rsidR="008F09C1" w:rsidRPr="00200AC1" w:rsidRDefault="64FC4E74" w:rsidP="00200AC1">
      <w:pPr>
        <w:pStyle w:val="Heading3"/>
      </w:pPr>
      <w:r>
        <w:lastRenderedPageBreak/>
        <w:t>Introduction</w:t>
      </w:r>
    </w:p>
    <w:p w14:paraId="526F1BAB" w14:textId="2C91A529" w:rsidR="003834B1" w:rsidRDefault="1016851B" w:rsidP="002A1693">
      <w:r>
        <w:t>This report documents the methodology used to prepare county-level net migration estimates by five-year age cohorts, sex, and selected race and Hispanic origin categories for the intercensal period from 2010 to 2020. The estimates were prepared using a vital statistics version of the forward cohort residual method (Siegel and Hamilton, 1952) and follow many of the techniques used to prepare the 1990-2000 and 2000-2010 estimates (Voss et al., 2004; Winkler et al., 2013). They extend a series of age-specific county-level estimates of net migration produced by teams of demographers each decade since the 1950s:</w:t>
      </w:r>
    </w:p>
    <w:p w14:paraId="1EE3881D" w14:textId="38213B6F" w:rsidR="008C1DC8" w:rsidRDefault="008C1DC8" w:rsidP="003834B1">
      <w:pPr>
        <w:pStyle w:val="ListParagraph"/>
        <w:numPr>
          <w:ilvl w:val="0"/>
          <w:numId w:val="8"/>
        </w:numPr>
        <w:autoSpaceDE w:val="0"/>
        <w:autoSpaceDN w:val="0"/>
        <w:adjustRightInd w:val="0"/>
        <w:spacing w:after="0" w:line="240" w:lineRule="auto"/>
        <w:rPr>
          <w:rFonts w:cstheme="minorHAnsi"/>
        </w:rPr>
      </w:pPr>
      <w:r w:rsidRPr="003834B1">
        <w:rPr>
          <w:rFonts w:cstheme="minorHAnsi"/>
        </w:rPr>
        <w:t>1950s: Bowles and</w:t>
      </w:r>
      <w:r w:rsidR="003834B1">
        <w:rPr>
          <w:rFonts w:cstheme="minorHAnsi"/>
        </w:rPr>
        <w:t xml:space="preserve"> </w:t>
      </w:r>
      <w:r w:rsidR="003834B1" w:rsidRPr="008C1DC8">
        <w:rPr>
          <w:rFonts w:cstheme="minorHAnsi"/>
        </w:rPr>
        <w:t>Tarver, 1965</w:t>
      </w:r>
      <w:r w:rsidR="003834B1">
        <w:rPr>
          <w:rFonts w:cstheme="minorHAnsi"/>
        </w:rPr>
        <w:t>;</w:t>
      </w:r>
    </w:p>
    <w:p w14:paraId="4D05DB62" w14:textId="6EE090D5" w:rsidR="003834B1" w:rsidRDefault="003834B1" w:rsidP="003834B1">
      <w:pPr>
        <w:pStyle w:val="ListParagraph"/>
        <w:numPr>
          <w:ilvl w:val="0"/>
          <w:numId w:val="8"/>
        </w:numPr>
        <w:autoSpaceDE w:val="0"/>
        <w:autoSpaceDN w:val="0"/>
        <w:adjustRightInd w:val="0"/>
        <w:spacing w:after="0" w:line="240" w:lineRule="auto"/>
        <w:rPr>
          <w:rFonts w:cstheme="minorHAnsi"/>
        </w:rPr>
      </w:pPr>
      <w:r w:rsidRPr="008C1DC8">
        <w:rPr>
          <w:rFonts w:cstheme="minorHAnsi"/>
        </w:rPr>
        <w:t>1960s: Bowles, Beale and Lee, 1975</w:t>
      </w:r>
      <w:r>
        <w:rPr>
          <w:rFonts w:cstheme="minorHAnsi"/>
        </w:rPr>
        <w:t>;</w:t>
      </w:r>
    </w:p>
    <w:p w14:paraId="19E9840C" w14:textId="177E2595" w:rsidR="008C1DC8" w:rsidRDefault="008C1DC8" w:rsidP="008C1DC8">
      <w:pPr>
        <w:pStyle w:val="ListParagraph"/>
        <w:numPr>
          <w:ilvl w:val="0"/>
          <w:numId w:val="8"/>
        </w:numPr>
        <w:autoSpaceDE w:val="0"/>
        <w:autoSpaceDN w:val="0"/>
        <w:adjustRightInd w:val="0"/>
        <w:spacing w:after="0" w:line="240" w:lineRule="auto"/>
        <w:rPr>
          <w:rFonts w:cstheme="minorHAnsi"/>
        </w:rPr>
      </w:pPr>
      <w:r w:rsidRPr="003834B1">
        <w:rPr>
          <w:rFonts w:cstheme="minorHAnsi"/>
        </w:rPr>
        <w:t xml:space="preserve">1970s: White, </w:t>
      </w:r>
      <w:proofErr w:type="spellStart"/>
      <w:r w:rsidRPr="003834B1">
        <w:rPr>
          <w:rFonts w:cstheme="minorHAnsi"/>
        </w:rPr>
        <w:t>Mueser</w:t>
      </w:r>
      <w:proofErr w:type="spellEnd"/>
      <w:r w:rsidRPr="003834B1">
        <w:rPr>
          <w:rFonts w:cstheme="minorHAnsi"/>
        </w:rPr>
        <w:t xml:space="preserve"> and Tierney, 1987;</w:t>
      </w:r>
    </w:p>
    <w:p w14:paraId="718A61F3" w14:textId="0487819D" w:rsidR="003834B1" w:rsidRDefault="003834B1" w:rsidP="008C1DC8">
      <w:pPr>
        <w:pStyle w:val="ListParagraph"/>
        <w:numPr>
          <w:ilvl w:val="0"/>
          <w:numId w:val="8"/>
        </w:numPr>
        <w:autoSpaceDE w:val="0"/>
        <w:autoSpaceDN w:val="0"/>
        <w:adjustRightInd w:val="0"/>
        <w:spacing w:after="0" w:line="240" w:lineRule="auto"/>
        <w:rPr>
          <w:rFonts w:cstheme="minorHAnsi"/>
        </w:rPr>
      </w:pPr>
      <w:r w:rsidRPr="008C1DC8">
        <w:rPr>
          <w:rFonts w:cstheme="minorHAnsi"/>
        </w:rPr>
        <w:t>1980s: Fuguitt, Beale, and Voss</w:t>
      </w:r>
      <w:r>
        <w:rPr>
          <w:rFonts w:cstheme="minorHAnsi"/>
        </w:rPr>
        <w:t>,</w:t>
      </w:r>
      <w:r w:rsidRPr="008C1DC8">
        <w:rPr>
          <w:rFonts w:cstheme="minorHAnsi"/>
        </w:rPr>
        <w:t xml:space="preserve"> 2010</w:t>
      </w:r>
      <w:r>
        <w:rPr>
          <w:rFonts w:cstheme="minorHAnsi"/>
        </w:rPr>
        <w:t>;</w:t>
      </w:r>
    </w:p>
    <w:p w14:paraId="4AE46613" w14:textId="146F5159" w:rsidR="0076163E" w:rsidRDefault="008C1DC8" w:rsidP="003834B1">
      <w:pPr>
        <w:pStyle w:val="ListParagraph"/>
        <w:numPr>
          <w:ilvl w:val="0"/>
          <w:numId w:val="8"/>
        </w:numPr>
        <w:autoSpaceDE w:val="0"/>
        <w:autoSpaceDN w:val="0"/>
        <w:adjustRightInd w:val="0"/>
        <w:spacing w:after="0" w:line="240" w:lineRule="auto"/>
        <w:rPr>
          <w:rFonts w:cstheme="minorHAnsi"/>
        </w:rPr>
      </w:pPr>
      <w:r w:rsidRPr="003834B1">
        <w:rPr>
          <w:rFonts w:cstheme="minorHAnsi"/>
        </w:rPr>
        <w:t>1990s: Voss, McNiven, Hammer, Johnson and</w:t>
      </w:r>
      <w:r w:rsidR="003834B1">
        <w:rPr>
          <w:rFonts w:cstheme="minorHAnsi"/>
        </w:rPr>
        <w:t xml:space="preserve"> </w:t>
      </w:r>
      <w:r w:rsidRPr="003834B1">
        <w:rPr>
          <w:rFonts w:cstheme="minorHAnsi"/>
        </w:rPr>
        <w:t>Fuguitt, 2004</w:t>
      </w:r>
      <w:r w:rsidR="009C3C75">
        <w:rPr>
          <w:rFonts w:cstheme="minorHAnsi"/>
        </w:rPr>
        <w:t>;</w:t>
      </w:r>
    </w:p>
    <w:p w14:paraId="7CB177C5" w14:textId="00C61F54" w:rsidR="009C3C75" w:rsidRPr="003834B1" w:rsidRDefault="009C3C75" w:rsidP="003834B1">
      <w:pPr>
        <w:pStyle w:val="ListParagraph"/>
        <w:numPr>
          <w:ilvl w:val="0"/>
          <w:numId w:val="8"/>
        </w:numPr>
        <w:autoSpaceDE w:val="0"/>
        <w:autoSpaceDN w:val="0"/>
        <w:adjustRightInd w:val="0"/>
        <w:spacing w:after="0" w:line="240" w:lineRule="auto"/>
        <w:rPr>
          <w:rFonts w:cstheme="minorHAnsi"/>
        </w:rPr>
      </w:pPr>
      <w:r>
        <w:rPr>
          <w:rFonts w:cstheme="minorHAnsi"/>
        </w:rPr>
        <w:t>2000s: Winkler, Johnson, Cheng, Voss and Curtis, 2013.</w:t>
      </w:r>
    </w:p>
    <w:p w14:paraId="432F133D" w14:textId="77777777" w:rsidR="009C3C75" w:rsidRDefault="009C3C75" w:rsidP="002A1693">
      <w:pPr>
        <w:pStyle w:val="NoSpacing"/>
      </w:pPr>
    </w:p>
    <w:p w14:paraId="3F10EF59" w14:textId="18EBAC98" w:rsidR="00DE4068" w:rsidRDefault="1016851B" w:rsidP="00DE4068">
      <w:r>
        <w:t>The residual method for calculating net migration for any period requires a starting population, an ending population and vital events, whether enumerated or estimated. The approach is based on the demographic balancing equation, and substitution of its components:</w:t>
      </w:r>
    </w:p>
    <w:p w14:paraId="081E0168" w14:textId="44B71086" w:rsidR="008F09C1" w:rsidRDefault="00AF47CF" w:rsidP="00AF47CF">
      <w:pPr>
        <w:tabs>
          <w:tab w:val="left" w:pos="2880"/>
          <w:tab w:val="left" w:pos="5760"/>
        </w:tabs>
      </w:pPr>
      <w:r>
        <w:rPr>
          <w:i/>
        </w:rPr>
        <w:tab/>
      </w:r>
      <w:r w:rsidR="0072220A" w:rsidRPr="32F22803">
        <w:rPr>
          <w:i/>
          <w:iCs/>
        </w:rPr>
        <w:t>P</w:t>
      </w:r>
      <w:r w:rsidR="008F09C1">
        <w:rPr>
          <w:vertAlign w:val="subscript"/>
        </w:rPr>
        <w:t>1</w:t>
      </w:r>
      <w:r w:rsidR="008F09C1">
        <w:t xml:space="preserve"> = </w:t>
      </w:r>
      <w:r w:rsidR="0072220A" w:rsidRPr="32F22803">
        <w:rPr>
          <w:i/>
          <w:iCs/>
        </w:rPr>
        <w:t>P</w:t>
      </w:r>
      <w:r w:rsidR="008F09C1">
        <w:rPr>
          <w:vertAlign w:val="subscript"/>
        </w:rPr>
        <w:t>0</w:t>
      </w:r>
      <w:r w:rsidR="008F09C1">
        <w:t xml:space="preserve"> + (</w:t>
      </w:r>
      <w:r w:rsidR="008F09C1" w:rsidRPr="32F22803">
        <w:rPr>
          <w:i/>
          <w:iCs/>
        </w:rPr>
        <w:t xml:space="preserve">B </w:t>
      </w:r>
      <w:r w:rsidR="008F09C1">
        <w:t xml:space="preserve">− </w:t>
      </w:r>
      <w:r w:rsidR="008F09C1" w:rsidRPr="32F22803">
        <w:rPr>
          <w:i/>
          <w:iCs/>
        </w:rPr>
        <w:t>D</w:t>
      </w:r>
      <w:r w:rsidR="008F09C1">
        <w:t>) +</w:t>
      </w:r>
      <w:r w:rsidR="008F09C1">
        <w:rPr>
          <w:spacing w:val="-9"/>
        </w:rPr>
        <w:t xml:space="preserve"> </w:t>
      </w:r>
      <w:r w:rsidR="008F09C1">
        <w:t>(</w:t>
      </w:r>
      <w:r w:rsidR="008F09C1" w:rsidRPr="32F22803">
        <w:rPr>
          <w:i/>
          <w:iCs/>
        </w:rPr>
        <w:t>IM</w:t>
      </w:r>
      <w:r w:rsidR="008F09C1" w:rsidRPr="32F22803">
        <w:rPr>
          <w:i/>
          <w:iCs/>
          <w:spacing w:val="-3"/>
        </w:rPr>
        <w:t xml:space="preserve"> </w:t>
      </w:r>
      <w:r w:rsidR="008F09C1">
        <w:t>−</w:t>
      </w:r>
      <w:r w:rsidR="008F09C1" w:rsidRPr="32F22803">
        <w:rPr>
          <w:i/>
          <w:iCs/>
        </w:rPr>
        <w:t>OM</w:t>
      </w:r>
      <w:r w:rsidR="008F09C1">
        <w:t>)</w:t>
      </w:r>
      <w:r w:rsidR="008F09C1">
        <w:tab/>
        <w:t>[1]</w:t>
      </w:r>
      <w:r w:rsidR="001949EA">
        <w:rPr>
          <w:rStyle w:val="FootnoteReference"/>
        </w:rPr>
        <w:footnoteReference w:id="1"/>
      </w:r>
    </w:p>
    <w:p w14:paraId="39B4DBED" w14:textId="200DE863" w:rsidR="008F09C1" w:rsidRDefault="0048390A" w:rsidP="002A1693">
      <w:pPr>
        <w:pStyle w:val="NoSpacing"/>
      </w:pPr>
      <w:r>
        <w:t>w</w:t>
      </w:r>
      <w:r w:rsidR="008F09C1">
        <w:t>here:</w:t>
      </w:r>
    </w:p>
    <w:p w14:paraId="6A65D4CF" w14:textId="36629AB9" w:rsidR="008F09C1" w:rsidRDefault="76A360BC" w:rsidP="008F09C1">
      <w:pPr>
        <w:pStyle w:val="NoSpacing"/>
        <w:ind w:left="720"/>
      </w:pPr>
      <w:r w:rsidRPr="76A360BC">
        <w:rPr>
          <w:i/>
          <w:iCs/>
        </w:rPr>
        <w:t>P</w:t>
      </w:r>
      <w:r w:rsidRPr="76A360BC">
        <w:rPr>
          <w:vertAlign w:val="subscript"/>
        </w:rPr>
        <w:t>1</w:t>
      </w:r>
      <w:r w:rsidRPr="76A360BC">
        <w:rPr>
          <w:sz w:val="14"/>
          <w:szCs w:val="14"/>
        </w:rPr>
        <w:t xml:space="preserve"> </w:t>
      </w:r>
      <w:r>
        <w:t>= Final population at the ending date (here, 2020 Census day of 4/1/2020);</w:t>
      </w:r>
    </w:p>
    <w:p w14:paraId="5FA1EE80" w14:textId="603CF740" w:rsidR="008F09C1" w:rsidRDefault="76A360BC" w:rsidP="008F09C1">
      <w:pPr>
        <w:pStyle w:val="NoSpacing"/>
        <w:ind w:left="720"/>
      </w:pPr>
      <w:r w:rsidRPr="76A360BC">
        <w:rPr>
          <w:i/>
          <w:iCs/>
        </w:rPr>
        <w:t>P</w:t>
      </w:r>
      <w:r w:rsidRPr="76A360BC">
        <w:rPr>
          <w:vertAlign w:val="subscript"/>
        </w:rPr>
        <w:t>0</w:t>
      </w:r>
      <w:r>
        <w:t>= Starting population at the beginning date (here, 2010 Census Day of 4/1/2010);</w:t>
      </w:r>
    </w:p>
    <w:p w14:paraId="62479484" w14:textId="592ABF53" w:rsidR="008F09C1" w:rsidRDefault="14F195AD" w:rsidP="008F09C1">
      <w:pPr>
        <w:pStyle w:val="NoSpacing"/>
        <w:ind w:left="720"/>
      </w:pPr>
      <w:r w:rsidRPr="14F195AD">
        <w:rPr>
          <w:i/>
          <w:iCs/>
        </w:rPr>
        <w:t>B</w:t>
      </w:r>
      <w:r>
        <w:t>= Births 2010-2020 (between the Census enumeration dates);</w:t>
      </w:r>
    </w:p>
    <w:p w14:paraId="6F197AFF" w14:textId="34FCF90A" w:rsidR="008F09C1" w:rsidRDefault="008F09C1" w:rsidP="008F09C1">
      <w:pPr>
        <w:pStyle w:val="NoSpacing"/>
        <w:ind w:left="720"/>
      </w:pPr>
      <w:r>
        <w:rPr>
          <w:i/>
        </w:rPr>
        <w:t>D</w:t>
      </w:r>
      <w:r>
        <w:t xml:space="preserve">= </w:t>
      </w:r>
      <w:r w:rsidR="009C3C75">
        <w:t>D</w:t>
      </w:r>
      <w:r>
        <w:t>eaths 20</w:t>
      </w:r>
      <w:r w:rsidR="00714531">
        <w:t>1</w:t>
      </w:r>
      <w:r>
        <w:t>0-20</w:t>
      </w:r>
      <w:r w:rsidR="00714531">
        <w:t>2</w:t>
      </w:r>
      <w:r>
        <w:t>0 (between the Census enumeration</w:t>
      </w:r>
      <w:r w:rsidR="0076163E">
        <w:t xml:space="preserve"> dates</w:t>
      </w:r>
      <w:r>
        <w:t>);</w:t>
      </w:r>
    </w:p>
    <w:p w14:paraId="1C7D66D2" w14:textId="31CF99DE" w:rsidR="008F09C1" w:rsidRDefault="008F09C1" w:rsidP="008F09C1">
      <w:pPr>
        <w:pStyle w:val="NoSpacing"/>
        <w:ind w:left="720"/>
        <w:rPr>
          <w:iCs/>
        </w:rPr>
      </w:pPr>
      <w:r>
        <w:rPr>
          <w:i/>
        </w:rPr>
        <w:t xml:space="preserve">IM = </w:t>
      </w:r>
      <w:r w:rsidR="009C3C75">
        <w:rPr>
          <w:iCs/>
        </w:rPr>
        <w:t>I</w:t>
      </w:r>
      <w:r>
        <w:rPr>
          <w:iCs/>
        </w:rPr>
        <w:t>n-migration to the geographic area between the starting and ending dates</w:t>
      </w:r>
      <w:r w:rsidR="0072220A">
        <w:rPr>
          <w:iCs/>
        </w:rPr>
        <w:t>;</w:t>
      </w:r>
    </w:p>
    <w:p w14:paraId="6BA9DD49" w14:textId="76223785" w:rsidR="0072220A" w:rsidRDefault="0072220A" w:rsidP="008F09C1">
      <w:pPr>
        <w:pStyle w:val="NoSpacing"/>
        <w:ind w:left="720"/>
        <w:rPr>
          <w:iCs/>
        </w:rPr>
      </w:pPr>
      <w:r>
        <w:rPr>
          <w:i/>
        </w:rPr>
        <w:t xml:space="preserve">OM = </w:t>
      </w:r>
      <w:r>
        <w:rPr>
          <w:iCs/>
        </w:rPr>
        <w:t>out-migration from the geographic area between the starting and ending dates.</w:t>
      </w:r>
    </w:p>
    <w:p w14:paraId="19B8E566" w14:textId="65454C19" w:rsidR="0072220A" w:rsidRDefault="0072220A" w:rsidP="008F09C1">
      <w:pPr>
        <w:pStyle w:val="NoSpacing"/>
        <w:ind w:left="720"/>
        <w:rPr>
          <w:iCs/>
        </w:rPr>
      </w:pPr>
    </w:p>
    <w:p w14:paraId="2CBA3222" w14:textId="5D69365D" w:rsidR="004D1A5C" w:rsidRDefault="004D1A5C" w:rsidP="002A1693">
      <w:r>
        <w:t>The balancing equation [1] may be rearranged to derive the migration component</w:t>
      </w:r>
      <w:r w:rsidR="00660EDA">
        <w:t>.</w:t>
      </w:r>
    </w:p>
    <w:p w14:paraId="4761039D" w14:textId="26C9BC5E" w:rsidR="004D1A5C" w:rsidRPr="00AF47CF" w:rsidRDefault="00AF47CF" w:rsidP="00AF47CF">
      <w:pPr>
        <w:tabs>
          <w:tab w:val="left" w:pos="2880"/>
          <w:tab w:val="left" w:pos="5760"/>
        </w:tabs>
        <w:rPr>
          <w:i/>
        </w:rPr>
      </w:pPr>
      <w:r>
        <w:rPr>
          <w:i/>
        </w:rPr>
        <w:tab/>
      </w:r>
      <w:r w:rsidR="009C3C75" w:rsidRPr="009C3C75">
        <w:rPr>
          <w:i/>
        </w:rPr>
        <w:t>IM −OM = (P</w:t>
      </w:r>
      <w:r w:rsidR="009C3C75" w:rsidRPr="00AF47CF">
        <w:rPr>
          <w:i/>
          <w:vertAlign w:val="subscript"/>
        </w:rPr>
        <w:t>1</w:t>
      </w:r>
      <w:r w:rsidR="009C3C75" w:rsidRPr="009C3C75">
        <w:rPr>
          <w:i/>
        </w:rPr>
        <w:t xml:space="preserve"> − P</w:t>
      </w:r>
      <w:r w:rsidR="009C3C75" w:rsidRPr="00AF47CF">
        <w:rPr>
          <w:i/>
          <w:vertAlign w:val="subscript"/>
        </w:rPr>
        <w:t>0</w:t>
      </w:r>
      <w:r w:rsidR="009C3C75" w:rsidRPr="009C3C75">
        <w:rPr>
          <w:i/>
        </w:rPr>
        <w:t>) − (B − D)</w:t>
      </w:r>
      <w:r w:rsidR="009C3C75" w:rsidRPr="00AF47CF">
        <w:rPr>
          <w:i/>
        </w:rPr>
        <w:tab/>
      </w:r>
      <w:r w:rsidR="009C3C75" w:rsidRPr="00140385">
        <w:rPr>
          <w:iCs/>
        </w:rPr>
        <w:t>[2]</w:t>
      </w:r>
    </w:p>
    <w:p w14:paraId="7D895681" w14:textId="29E6EE30" w:rsidR="004D1A5C" w:rsidRDefault="4E0299A8" w:rsidP="002A1693">
      <w:r>
        <w:t>The difference between in-migration (</w:t>
      </w:r>
      <w:r w:rsidRPr="003072DC">
        <w:rPr>
          <w:i/>
          <w:iCs/>
        </w:rPr>
        <w:t>IM</w:t>
      </w:r>
      <w:r>
        <w:t>) and out-migration (</w:t>
      </w:r>
      <w:r w:rsidRPr="003072DC">
        <w:rPr>
          <w:i/>
          <w:iCs/>
        </w:rPr>
        <w:t>OM</w:t>
      </w:r>
      <w:r>
        <w:t>) is equal to the population change over the decade minus the natural change (births (</w:t>
      </w:r>
      <w:r w:rsidRPr="003072DC">
        <w:rPr>
          <w:i/>
          <w:iCs/>
        </w:rPr>
        <w:t>B</w:t>
      </w:r>
      <w:r>
        <w:t>) – deaths (</w:t>
      </w:r>
      <w:r w:rsidRPr="003072DC">
        <w:rPr>
          <w:i/>
          <w:iCs/>
        </w:rPr>
        <w:t>D</w:t>
      </w:r>
      <w:r>
        <w:t>)) that occurred over the period. Depending on data availability, these equations can be calculated for population sub-groups.</w:t>
      </w:r>
    </w:p>
    <w:p w14:paraId="02A58AFB" w14:textId="2DF80D81" w:rsidR="007F1CF0" w:rsidRDefault="00C00D50" w:rsidP="09BC6D12">
      <w:r>
        <w:t>D</w:t>
      </w:r>
      <w:r w:rsidR="09BC6D12">
        <w:t xml:space="preserve">ata for in- and out-migration for small geographies </w:t>
      </w:r>
      <w:r>
        <w:t>(</w:t>
      </w:r>
      <w:r w:rsidR="09BC6D12">
        <w:t>like counties</w:t>
      </w:r>
      <w:r>
        <w:t>)</w:t>
      </w:r>
      <w:r w:rsidR="09BC6D12">
        <w:t xml:space="preserve"> are </w:t>
      </w:r>
      <w:r>
        <w:t xml:space="preserve">generally </w:t>
      </w:r>
      <w:r w:rsidR="09BC6D12">
        <w:t xml:space="preserve">unavailable or unreliable in the United States, especially for demographic breakdowns (e.g. age, sex, race). Thus, </w:t>
      </w:r>
      <w:r w:rsidR="00FC07EA">
        <w:t xml:space="preserve">we consolidate </w:t>
      </w:r>
      <w:r w:rsidR="09BC6D12">
        <w:t xml:space="preserve">the difference between in- and out-migration to net migration, or </w:t>
      </w:r>
      <w:r w:rsidR="09BC6D12" w:rsidRPr="09BC6D12">
        <w:rPr>
          <w:i/>
          <w:iCs/>
        </w:rPr>
        <w:t>NM</w:t>
      </w:r>
      <w:r w:rsidR="09BC6D12">
        <w:t>.</w:t>
      </w:r>
      <w:r w:rsidR="00FC07EA" w:rsidRPr="00FC07EA">
        <w:t xml:space="preserve"> </w:t>
      </w:r>
    </w:p>
    <w:p w14:paraId="4494DF3E" w14:textId="2BE2074A" w:rsidR="007F1CF0" w:rsidRPr="00AF47CF" w:rsidRDefault="00AF47CF" w:rsidP="00AF47CF">
      <w:pPr>
        <w:tabs>
          <w:tab w:val="left" w:pos="2880"/>
          <w:tab w:val="left" w:pos="5760"/>
        </w:tabs>
        <w:rPr>
          <w:i/>
        </w:rPr>
      </w:pPr>
      <w:r>
        <w:rPr>
          <w:i/>
        </w:rPr>
        <w:tab/>
      </w:r>
      <w:r w:rsidR="007F1CF0">
        <w:rPr>
          <w:i/>
        </w:rPr>
        <w:t>NM</w:t>
      </w:r>
      <w:r w:rsidR="007F1CF0" w:rsidRPr="009C3C75">
        <w:rPr>
          <w:i/>
        </w:rPr>
        <w:t xml:space="preserve"> = (P</w:t>
      </w:r>
      <w:r w:rsidR="007F1CF0" w:rsidRPr="00AF47CF">
        <w:rPr>
          <w:i/>
          <w:vertAlign w:val="subscript"/>
        </w:rPr>
        <w:t>1</w:t>
      </w:r>
      <w:r w:rsidR="007F1CF0" w:rsidRPr="009C3C75">
        <w:rPr>
          <w:i/>
        </w:rPr>
        <w:t xml:space="preserve"> − P</w:t>
      </w:r>
      <w:r w:rsidR="007F1CF0" w:rsidRPr="00AF47CF">
        <w:rPr>
          <w:i/>
          <w:vertAlign w:val="subscript"/>
        </w:rPr>
        <w:t>0</w:t>
      </w:r>
      <w:r w:rsidR="007F1CF0" w:rsidRPr="009C3C75">
        <w:rPr>
          <w:i/>
        </w:rPr>
        <w:t>) − (B − D)</w:t>
      </w:r>
      <w:r w:rsidR="007F1CF0" w:rsidRPr="00AF47CF">
        <w:rPr>
          <w:i/>
        </w:rPr>
        <w:tab/>
      </w:r>
      <w:r w:rsidR="007F1CF0" w:rsidRPr="00140385">
        <w:rPr>
          <w:iCs/>
        </w:rPr>
        <w:t>[3]</w:t>
      </w:r>
    </w:p>
    <w:p w14:paraId="73AB5654" w14:textId="77777777" w:rsidR="007F1CF0" w:rsidRDefault="007F1CF0" w:rsidP="00194DB5">
      <w:pPr>
        <w:pStyle w:val="NoSpacing"/>
      </w:pPr>
      <w:r>
        <w:t>where:</w:t>
      </w:r>
    </w:p>
    <w:p w14:paraId="0F1BD22C" w14:textId="0AB86A70" w:rsidR="007F1CF0" w:rsidRDefault="007F1CF0" w:rsidP="007F1CF0">
      <w:pPr>
        <w:pStyle w:val="NoSpacing"/>
        <w:ind w:left="720"/>
      </w:pPr>
      <w:r>
        <w:rPr>
          <w:i/>
        </w:rPr>
        <w:lastRenderedPageBreak/>
        <w:t>NM</w:t>
      </w:r>
      <w:r>
        <w:rPr>
          <w:sz w:val="14"/>
        </w:rPr>
        <w:t xml:space="preserve"> </w:t>
      </w:r>
      <w:r>
        <w:t xml:space="preserve">= Net migration for the geographic area between the starting and ending </w:t>
      </w:r>
      <w:r w:rsidR="00D94A41">
        <w:t>dates.</w:t>
      </w:r>
    </w:p>
    <w:p w14:paraId="1C6591F7" w14:textId="77777777" w:rsidR="00FC07EA" w:rsidRDefault="00FC07EA" w:rsidP="007F1CF0">
      <w:pPr>
        <w:pStyle w:val="NoSpacing"/>
        <w:ind w:left="720"/>
      </w:pPr>
    </w:p>
    <w:p w14:paraId="2D3D959F" w14:textId="4D55F104" w:rsidR="008753D8" w:rsidRDefault="4E0299A8" w:rsidP="4E0299A8">
      <w:r>
        <w:t xml:space="preserve">We can estimate net migration by obtaining the four building blocks of data for the right-hand side of equation [3], which are available and </w:t>
      </w:r>
      <w:r w:rsidR="00785E59">
        <w:t>generally</w:t>
      </w:r>
      <w:r>
        <w:t xml:space="preserve"> reliable at a county level in the United States by age, sex, race and Hispanic origin. If we assume zero net migration, the ending population would be equal to the starting population plus only the natural change </w:t>
      </w:r>
      <w:r w:rsidRPr="4E0299A8">
        <w:rPr>
          <w:i/>
          <w:iCs/>
        </w:rPr>
        <w:t>(B − D)</w:t>
      </w:r>
      <w:r>
        <w:t>. This process generates the expected population (i.e., what the ending population would be in the absence of migration).</w:t>
      </w:r>
    </w:p>
    <w:p w14:paraId="0B25BE23" w14:textId="3C617321" w:rsidR="008753D8" w:rsidRPr="00AF47CF" w:rsidRDefault="00AF47CF" w:rsidP="00AF47CF">
      <w:pPr>
        <w:tabs>
          <w:tab w:val="left" w:pos="2880"/>
          <w:tab w:val="left" w:pos="5760"/>
        </w:tabs>
        <w:rPr>
          <w:i/>
        </w:rPr>
      </w:pPr>
      <w:r>
        <w:rPr>
          <w:i/>
        </w:rPr>
        <w:tab/>
      </w:r>
      <w:r w:rsidR="008753D8">
        <w:rPr>
          <w:i/>
        </w:rPr>
        <w:t>EP</w:t>
      </w:r>
      <w:r w:rsidR="008753D8" w:rsidRPr="00AF47CF">
        <w:rPr>
          <w:i/>
          <w:vertAlign w:val="subscript"/>
        </w:rPr>
        <w:t>1</w:t>
      </w:r>
      <w:r w:rsidR="008753D8" w:rsidRPr="009C3C75">
        <w:rPr>
          <w:i/>
        </w:rPr>
        <w:t xml:space="preserve"> = P</w:t>
      </w:r>
      <w:r w:rsidR="008753D8" w:rsidRPr="00AF47CF">
        <w:rPr>
          <w:i/>
          <w:vertAlign w:val="subscript"/>
        </w:rPr>
        <w:t>0</w:t>
      </w:r>
      <w:r w:rsidR="008753D8" w:rsidRPr="009C3C75">
        <w:rPr>
          <w:i/>
        </w:rPr>
        <w:t xml:space="preserve"> </w:t>
      </w:r>
      <w:r w:rsidR="008753D8">
        <w:rPr>
          <w:i/>
        </w:rPr>
        <w:t xml:space="preserve">+ </w:t>
      </w:r>
      <w:r w:rsidR="008753D8" w:rsidRPr="009C3C75">
        <w:rPr>
          <w:i/>
        </w:rPr>
        <w:t>B − D</w:t>
      </w:r>
      <w:r w:rsidR="008753D8" w:rsidRPr="00AF47CF">
        <w:rPr>
          <w:i/>
        </w:rPr>
        <w:tab/>
      </w:r>
      <w:r w:rsidR="008753D8" w:rsidRPr="00140385">
        <w:rPr>
          <w:iCs/>
        </w:rPr>
        <w:t>[4]</w:t>
      </w:r>
    </w:p>
    <w:p w14:paraId="441E5CDA" w14:textId="77777777" w:rsidR="00660EDA" w:rsidRDefault="00660EDA" w:rsidP="00660EDA">
      <w:r>
        <w:t>where:</w:t>
      </w:r>
    </w:p>
    <w:p w14:paraId="445A96F0" w14:textId="78D23399" w:rsidR="008753D8" w:rsidRDefault="00660EDA" w:rsidP="00660EDA">
      <w:pPr>
        <w:pStyle w:val="NoSpacing"/>
        <w:ind w:left="720"/>
        <w:rPr>
          <w:iCs/>
        </w:rPr>
      </w:pPr>
      <w:r>
        <w:rPr>
          <w:i/>
        </w:rPr>
        <w:t>EP</w:t>
      </w:r>
      <w:r w:rsidRPr="0048390A">
        <w:rPr>
          <w:vertAlign w:val="subscript"/>
        </w:rPr>
        <w:t>1</w:t>
      </w:r>
      <w:r>
        <w:rPr>
          <w:sz w:val="14"/>
        </w:rPr>
        <w:t xml:space="preserve"> </w:t>
      </w:r>
      <w:r>
        <w:t xml:space="preserve">= Expected population at the ending date </w:t>
      </w:r>
      <w:r w:rsidR="00FC07EA">
        <w:t>(here, 2020 Census day of 4/1/2020)</w:t>
      </w:r>
      <w:r>
        <w:t>.</w:t>
      </w:r>
    </w:p>
    <w:p w14:paraId="7A45D6E9" w14:textId="77777777" w:rsidR="00FC4986" w:rsidRDefault="00FC4986" w:rsidP="007F1CF0">
      <w:pPr>
        <w:pStyle w:val="NoSpacing"/>
        <w:rPr>
          <w:iCs/>
        </w:rPr>
      </w:pPr>
    </w:p>
    <w:p w14:paraId="453056D7" w14:textId="09E8010D" w:rsidR="007100AA" w:rsidRDefault="3EECE021" w:rsidP="00BA490D">
      <w:r>
        <w:t>The traditional demographic balancing equation is period-based. However, we modify the equation to generate a cohort-based measure. This means, for instance, reported estimates for the population age 25-29 in the 2010s capture the net result of migration for people who were age 15-19 at the start of the period in 2010 and then were age 25-29 by the end of the period in 2020. To accomplish this, we aged the starting population forward in time, year by year, in single-year-of-age increments. Deaths that occurred in these cohorts were subtracted. For cohorts born during the decade, the expected population is the difference between births and deaths to those children</w:t>
      </w:r>
      <w:r w:rsidR="00785E59">
        <w:t xml:space="preserve"> 0-9 in 2020</w:t>
      </w:r>
      <w:r>
        <w:t>. After repeating this process across the decadal time frame, the expected populations reflect the surviving population of a cohort, ten years later, as if no migration had occurred.</w:t>
      </w:r>
    </w:p>
    <w:p w14:paraId="31E8F8C4" w14:textId="06960AFE" w:rsidR="00E52087" w:rsidRDefault="00E52087" w:rsidP="00BA490D">
      <w:r>
        <w:t>Net migration can then be estimated as the difference between the observed final population and the expected population.</w:t>
      </w:r>
    </w:p>
    <w:p w14:paraId="6183EBAA" w14:textId="5A36A9C7" w:rsidR="00E52087" w:rsidRPr="00AF47CF" w:rsidRDefault="00AF47CF" w:rsidP="00AF47CF">
      <w:pPr>
        <w:tabs>
          <w:tab w:val="left" w:pos="2880"/>
          <w:tab w:val="left" w:pos="5760"/>
        </w:tabs>
        <w:rPr>
          <w:i/>
        </w:rPr>
      </w:pPr>
      <w:r>
        <w:rPr>
          <w:i/>
        </w:rPr>
        <w:tab/>
      </w:r>
      <w:r w:rsidR="00E52087">
        <w:rPr>
          <w:i/>
        </w:rPr>
        <w:t>NM</w:t>
      </w:r>
      <w:r w:rsidR="00E52087" w:rsidRPr="009C3C75">
        <w:rPr>
          <w:i/>
        </w:rPr>
        <w:t xml:space="preserve"> = P</w:t>
      </w:r>
      <w:r w:rsidR="00E52087" w:rsidRPr="00AF47CF">
        <w:rPr>
          <w:i/>
          <w:vertAlign w:val="subscript"/>
        </w:rPr>
        <w:t>1</w:t>
      </w:r>
      <w:r w:rsidR="00E52087" w:rsidRPr="009C3C75">
        <w:rPr>
          <w:i/>
        </w:rPr>
        <w:t xml:space="preserve"> </w:t>
      </w:r>
      <w:r w:rsidR="00E52087">
        <w:rPr>
          <w:i/>
        </w:rPr>
        <w:t>- EP</w:t>
      </w:r>
      <w:r w:rsidR="00E52087" w:rsidRPr="00AF47CF">
        <w:rPr>
          <w:i/>
          <w:vertAlign w:val="subscript"/>
        </w:rPr>
        <w:t>1</w:t>
      </w:r>
      <w:r w:rsidR="00E52087" w:rsidRPr="00AF47CF">
        <w:rPr>
          <w:i/>
        </w:rPr>
        <w:tab/>
      </w:r>
      <w:r w:rsidR="00E52087" w:rsidRPr="00140385">
        <w:rPr>
          <w:iCs/>
        </w:rPr>
        <w:t>[5]</w:t>
      </w:r>
    </w:p>
    <w:p w14:paraId="70D5F318" w14:textId="5B095C66" w:rsidR="00E52087" w:rsidRDefault="3EECE021" w:rsidP="00BA490D">
      <w:r>
        <w:t>Finally, to calculate net migration rates, the resulting NM from equation [5] is divided by the expected population and multiplied by 100 to express the estimate as a rate per-100 expected population</w:t>
      </w:r>
      <w:r w:rsidR="00785E59">
        <w:t xml:space="preserve"> in 2020</w:t>
      </w:r>
      <w:r>
        <w:t>.</w:t>
      </w:r>
    </w:p>
    <w:p w14:paraId="7B49BA44" w14:textId="65A19C26" w:rsidR="00C21A27" w:rsidRDefault="00AF47CF" w:rsidP="003072DC">
      <w:pPr>
        <w:tabs>
          <w:tab w:val="left" w:pos="2880"/>
          <w:tab w:val="left" w:pos="5760"/>
        </w:tabs>
        <w:rPr>
          <w:i/>
        </w:rPr>
      </w:pPr>
      <w:r>
        <w:rPr>
          <w:i/>
        </w:rPr>
        <w:tab/>
        <w:t>NMR</w:t>
      </w:r>
      <w:r w:rsidRPr="009C3C75">
        <w:rPr>
          <w:i/>
        </w:rPr>
        <w:t xml:space="preserve"> = </w:t>
      </w:r>
      <w:r w:rsidR="00FC07EA">
        <w:rPr>
          <w:i/>
        </w:rPr>
        <w:t>(</w:t>
      </w:r>
      <w:r>
        <w:rPr>
          <w:i/>
        </w:rPr>
        <w:t>NM</w:t>
      </w:r>
      <w:r w:rsidRPr="00AF47CF">
        <w:rPr>
          <w:i/>
          <w:vertAlign w:val="subscript"/>
        </w:rPr>
        <w:t>1</w:t>
      </w:r>
      <w:r>
        <w:rPr>
          <w:i/>
        </w:rPr>
        <w:t xml:space="preserve"> </w:t>
      </w:r>
      <w:r>
        <w:rPr>
          <w:rFonts w:cstheme="minorHAnsi"/>
          <w:i/>
        </w:rPr>
        <w:t>÷</w:t>
      </w:r>
      <w:r>
        <w:rPr>
          <w:i/>
        </w:rPr>
        <w:t xml:space="preserve"> EP</w:t>
      </w:r>
      <w:r w:rsidRPr="00AF47CF">
        <w:rPr>
          <w:i/>
          <w:vertAlign w:val="subscript"/>
        </w:rPr>
        <w:t>1</w:t>
      </w:r>
      <w:r w:rsidR="00FC07EA">
        <w:rPr>
          <w:i/>
        </w:rPr>
        <w:t>)*100</w:t>
      </w:r>
      <w:r w:rsidRPr="00AF47CF">
        <w:rPr>
          <w:i/>
        </w:rPr>
        <w:tab/>
        <w:t>[</w:t>
      </w:r>
      <w:r>
        <w:rPr>
          <w:i/>
        </w:rPr>
        <w:t>6</w:t>
      </w:r>
      <w:r w:rsidRPr="00AF47CF">
        <w:rPr>
          <w:i/>
        </w:rPr>
        <w:t>]</w:t>
      </w:r>
    </w:p>
    <w:p w14:paraId="53CBD569" w14:textId="77777777" w:rsidR="003072DC" w:rsidRPr="003072DC" w:rsidRDefault="003072DC" w:rsidP="003072DC">
      <w:pPr>
        <w:tabs>
          <w:tab w:val="left" w:pos="2880"/>
          <w:tab w:val="left" w:pos="5760"/>
        </w:tabs>
        <w:rPr>
          <w:i/>
        </w:rPr>
      </w:pPr>
    </w:p>
    <w:p w14:paraId="7B5B2436" w14:textId="17BA4120" w:rsidR="00C21A27" w:rsidRPr="00200AC1" w:rsidRDefault="00C21A27" w:rsidP="00C21A27">
      <w:pPr>
        <w:pStyle w:val="Heading3"/>
      </w:pPr>
      <w:r>
        <w:t>Dataset Strengths and Limitations</w:t>
      </w:r>
    </w:p>
    <w:p w14:paraId="276EA8F6" w14:textId="273B1DC2" w:rsidR="00662402" w:rsidRDefault="3EECE021" w:rsidP="3EECE021">
      <w:r>
        <w:t>The generated net migration estimates should be highly accurate and reliable. The estimates are based on population counts at Census 2010 and 2020 and administrative records, including birth and death counts from the National Center for Health Statistics. As a result, error</w:t>
      </w:r>
      <w:r w:rsidR="00785E59">
        <w:t xml:space="preserve"> in the estimates</w:t>
      </w:r>
      <w:r>
        <w:t xml:space="preserve"> is minimal. We have adjusted for known classification errors, overcounts, and undercounts. We employ a well-tested methodology (described in the previous section) similar to methods employed over the last thirty years. </w:t>
      </w:r>
      <w:r w:rsidR="00E263B0">
        <w:t>In a</w:t>
      </w:r>
      <w:r>
        <w:t>ddition, our team consist</w:t>
      </w:r>
      <w:r w:rsidR="003072DC">
        <w:t>s</w:t>
      </w:r>
      <w:r>
        <w:t xml:space="preserve"> of</w:t>
      </w:r>
      <w:r w:rsidR="003072DC">
        <w:t xml:space="preserve"> </w:t>
      </w:r>
      <w:r>
        <w:t>members (authors) who</w:t>
      </w:r>
      <w:r w:rsidR="00E263B0">
        <w:t xml:space="preserve"> have</w:t>
      </w:r>
      <w:r>
        <w:t xml:space="preserve"> shared data, code, and experience for more than a decade. Finally, the estimates have been reviewed by experts and local practitioners to check for inconsistencies and confirm accuracy.</w:t>
      </w:r>
    </w:p>
    <w:p w14:paraId="12ADB368" w14:textId="0332978E" w:rsidR="006A5FE0" w:rsidRDefault="1871D327" w:rsidP="064BF152">
      <w:r>
        <w:t>Despite the</w:t>
      </w:r>
      <w:r w:rsidR="00E263B0">
        <w:t>ir</w:t>
      </w:r>
      <w:r>
        <w:t xml:space="preserve"> many strengths, the</w:t>
      </w:r>
      <w:r w:rsidR="00662402">
        <w:t xml:space="preserve"> estimates</w:t>
      </w:r>
      <w:r>
        <w:t xml:space="preserve"> are limited by data imperfections</w:t>
      </w:r>
      <w:r w:rsidR="00662402">
        <w:t>,</w:t>
      </w:r>
      <w:r>
        <w:t xml:space="preserve"> </w:t>
      </w:r>
      <w:r w:rsidR="00C21A27">
        <w:t xml:space="preserve">which </w:t>
      </w:r>
      <w:r>
        <w:t>we elaborate</w:t>
      </w:r>
      <w:r w:rsidR="00E263B0">
        <w:t xml:space="preserve"> upon</w:t>
      </w:r>
      <w:r>
        <w:t xml:space="preserve"> in the sections that follow</w:t>
      </w:r>
      <w:r w:rsidR="00382654">
        <w:t xml:space="preserve">. </w:t>
      </w:r>
      <w:r w:rsidR="006A5FE0">
        <w:t xml:space="preserve">The data are also limited by the fact that they estimate net migration from a residual approach. This means the net migration estimates cannot address inflows and outflows or </w:t>
      </w:r>
      <w:r w:rsidR="006A5FE0">
        <w:lastRenderedPageBreak/>
        <w:t>origins and destinations. Similarly, the estimates cannot detect population turnover. The estimates may confound changing migration propensities with changing population stocks: for instance, these data cannot discern whether people age 65-69 are increasingly likely to move to a particular county in the 2010s or whether there a</w:t>
      </w:r>
      <w:r w:rsidR="00E41F00">
        <w:t>re a</w:t>
      </w:r>
      <w:r w:rsidR="006A5FE0">
        <w:t xml:space="preserve"> larger number of people (Baby Boomers) at this age group.</w:t>
      </w:r>
      <w:r w:rsidR="006A5FE0" w:rsidRPr="72D6C981">
        <w:rPr>
          <w:rStyle w:val="FootnoteReference"/>
        </w:rPr>
        <w:footnoteReference w:id="2"/>
      </w:r>
      <w:r w:rsidR="006A5FE0" w:rsidRPr="1871D327">
        <w:rPr>
          <w:rStyle w:val="FootnoteReference"/>
        </w:rPr>
        <w:t xml:space="preserve">  </w:t>
      </w:r>
      <w:r w:rsidR="006A5FE0">
        <w:t xml:space="preserve">Limitations aside, the net migration estimates can capture the </w:t>
      </w:r>
      <w:r w:rsidR="00E41F00">
        <w:t>net outcome</w:t>
      </w:r>
      <w:r w:rsidR="006A5FE0">
        <w:t xml:space="preserve"> of how migration changes population composition by age, sex, race, and ethnicity for counties. </w:t>
      </w:r>
    </w:p>
    <w:p w14:paraId="71247186" w14:textId="13F45CF6" w:rsidR="00C21A27" w:rsidRDefault="3EECE021" w:rsidP="064BF152">
      <w:r>
        <w:t>Key limitations that users should consider when using and interpreting these data include:</w:t>
      </w:r>
    </w:p>
    <w:p w14:paraId="5447E096" w14:textId="07E3BF74" w:rsidR="1E8D55F5" w:rsidRDefault="3EECE021" w:rsidP="00C21A27">
      <w:pPr>
        <w:pStyle w:val="ListParagraph"/>
        <w:numPr>
          <w:ilvl w:val="0"/>
          <w:numId w:val="10"/>
        </w:numPr>
      </w:pPr>
      <w:r>
        <w:t>Estimates for race/ethnic groups are expected to be less accurate than totals given the complexity of racial and</w:t>
      </w:r>
      <w:r w:rsidR="003072DC">
        <w:t xml:space="preserve"> </w:t>
      </w:r>
      <w:r>
        <w:t xml:space="preserve">ethnic identification and classification. Such categories are not clear or discrete in the social world, although the methods we employ </w:t>
      </w:r>
      <w:r w:rsidR="00E41F00">
        <w:t>do assign individuals to</w:t>
      </w:r>
      <w:r>
        <w:t xml:space="preserve"> discrete groupings. </w:t>
      </w:r>
    </w:p>
    <w:p w14:paraId="505B9A93" w14:textId="58514B60" w:rsidR="006A5FE0" w:rsidRDefault="3EECE021" w:rsidP="00C21A27">
      <w:pPr>
        <w:pStyle w:val="ListParagraph"/>
        <w:numPr>
          <w:ilvl w:val="0"/>
          <w:numId w:val="10"/>
        </w:numPr>
      </w:pPr>
      <w:r>
        <w:t xml:space="preserve">Data for Hispanics </w:t>
      </w:r>
      <w:r w:rsidR="00E41F00">
        <w:t xml:space="preserve">are not yet included and will be released in Fall 2024 </w:t>
      </w:r>
      <w:r>
        <w:t>because of limitations associated with Census 2020 and the Population Estimates Program’s (PEP) improvements that are planned for the vintage 2023 “blended base.”</w:t>
      </w:r>
    </w:p>
    <w:p w14:paraId="0D68353D" w14:textId="214248B7" w:rsidR="006A5FE0" w:rsidRDefault="3EECE021" w:rsidP="00C21A27">
      <w:pPr>
        <w:pStyle w:val="ListParagraph"/>
        <w:numPr>
          <w:ilvl w:val="0"/>
          <w:numId w:val="10"/>
        </w:numPr>
      </w:pPr>
      <w:r>
        <w:t>Estimates for children under age 10 are expected to be less accurate than other ages due to potential inaccuracies in county residence in birth records. Rural counties may be particularly impacted, which might lead to a tendency for net migration to be overestimated for age groups 0-4 and 5-9.</w:t>
      </w:r>
    </w:p>
    <w:p w14:paraId="0702C786" w14:textId="61FC4E35" w:rsidR="006A5FE0" w:rsidRDefault="3EECE021" w:rsidP="00C21A27">
      <w:pPr>
        <w:pStyle w:val="ListParagraph"/>
        <w:numPr>
          <w:ilvl w:val="0"/>
          <w:numId w:val="10"/>
        </w:numPr>
      </w:pPr>
      <w:r>
        <w:t>Estimates for people at the oldest ages (75+) are expected to be less accurate than other ages since some death data may be missing or mis-recorded by location or race/ethnicity. For instance, most counties show a net out-migration at ages 75+ and, in some cases, this may be due to missing deaths (i.e.</w:t>
      </w:r>
      <w:r w:rsidR="003F30F3">
        <w:t>, people</w:t>
      </w:r>
      <w:r>
        <w:t xml:space="preserve"> died rather than left the county). </w:t>
      </w:r>
    </w:p>
    <w:p w14:paraId="72FD493E" w14:textId="11D62F01" w:rsidR="006A5FE0" w:rsidRDefault="3EECE021" w:rsidP="00C21A27">
      <w:pPr>
        <w:pStyle w:val="ListParagraph"/>
        <w:numPr>
          <w:ilvl w:val="0"/>
          <w:numId w:val="10"/>
        </w:numPr>
      </w:pPr>
      <w:r>
        <w:t xml:space="preserve">Net migration rates for small population counties or sub-groups may </w:t>
      </w:r>
      <w:r w:rsidR="00E41F00">
        <w:t>be less stable</w:t>
      </w:r>
      <w:r>
        <w:t xml:space="preserve"> because of the small size of denominators. </w:t>
      </w:r>
    </w:p>
    <w:p w14:paraId="3D1A8287" w14:textId="607927A3" w:rsidR="006A5FE0" w:rsidRDefault="3EECE021" w:rsidP="00C21A27">
      <w:pPr>
        <w:pStyle w:val="ListParagraph"/>
        <w:numPr>
          <w:ilvl w:val="0"/>
          <w:numId w:val="10"/>
        </w:numPr>
      </w:pPr>
      <w:r>
        <w:t xml:space="preserve">Cells (groups or sub-groups) where the expected population is less than 10 persons are suppressed to guard against data inconsistencies and potential misinterpretations. </w:t>
      </w:r>
    </w:p>
    <w:p w14:paraId="601D43FC" w14:textId="0066E618" w:rsidR="009D10C0" w:rsidRDefault="3EECE021" w:rsidP="00C21A27">
      <w:pPr>
        <w:pStyle w:val="ListParagraph"/>
        <w:numPr>
          <w:ilvl w:val="0"/>
          <w:numId w:val="10"/>
        </w:numPr>
      </w:pPr>
      <w:r>
        <w:t xml:space="preserve">Data for American Indian or Alaska Native (AIAN) populations are suppressed for migrants under age 10 because of inconsistencies in racial classifications of births to AIAN mothers. </w:t>
      </w:r>
    </w:p>
    <w:p w14:paraId="55F8EC8D" w14:textId="77777777" w:rsidR="006A5FE0" w:rsidRDefault="006A5FE0" w:rsidP="00382654">
      <w:pPr>
        <w:pStyle w:val="Heading3"/>
      </w:pPr>
    </w:p>
    <w:p w14:paraId="355E1C35" w14:textId="27ED4EE8" w:rsidR="00200AC1" w:rsidRPr="00382654" w:rsidRDefault="00200AC1" w:rsidP="00382654">
      <w:pPr>
        <w:pStyle w:val="Heading3"/>
        <w:rPr>
          <w:iCs/>
        </w:rPr>
      </w:pPr>
      <w:r>
        <w:t>Data Elements of the Net Migration Equation</w:t>
      </w:r>
    </w:p>
    <w:p w14:paraId="667D59B4" w14:textId="77777777" w:rsidR="001733C6" w:rsidRPr="001733C6" w:rsidRDefault="001733C6" w:rsidP="005443B8">
      <w:pPr>
        <w:pStyle w:val="NoSpacing"/>
      </w:pPr>
    </w:p>
    <w:p w14:paraId="6403C5C8" w14:textId="7F3D4BC4" w:rsidR="004D1A5C" w:rsidRDefault="004D1A5C" w:rsidP="00200AC1">
      <w:pPr>
        <w:pStyle w:val="Heading4"/>
      </w:pPr>
      <w:r>
        <w:t>Starting Population at 2010</w:t>
      </w:r>
    </w:p>
    <w:p w14:paraId="715B6165" w14:textId="4866AB47" w:rsidR="00A43246" w:rsidRDefault="3EECE021" w:rsidP="14F195AD">
      <w:r>
        <w:t xml:space="preserve">To develop the starting population in 2010, we began with the 4/1/2010 Estimates Base that was produced by the U.S. Census Bureau’s Population Estimates Program, vintage 2018 (U.S. Census Bureau, 2019). The county-level </w:t>
      </w:r>
      <w:r w:rsidR="00E263B0">
        <w:t>E</w:t>
      </w:r>
      <w:r>
        <w:t xml:space="preserve">stimates </w:t>
      </w:r>
      <w:r w:rsidR="00E263B0">
        <w:t>B</w:t>
      </w:r>
      <w:r>
        <w:t xml:space="preserve">ase provides an estimate of the population on Census Day 2010 by five-year age groups, sex, and race “alone or in combination” with other races, as well as Hispanic and non-Hispanic groupings. For most counties, the Estimates Base is identical to the Census 2010 official enumeration results, but the Estimates Base offers the added benefit of incorporating post-2010 corrections. Estimates Base data are recorded in five-year age groups. To appropriately apply death </w:t>
      </w:r>
      <w:r>
        <w:lastRenderedPageBreak/>
        <w:t xml:space="preserve">records, we disaggregated the five-year values to single years of age. We disaggregated the five-year data using the US Census 2010, PCT12 data table series for single year of age by sex, race, and Hispanic origin (PCT12H through PCT12O) to calculate the proportion of the five-year population at each single year of age, then multiplied this proportion </w:t>
      </w:r>
      <w:r w:rsidR="00E263B0">
        <w:t>by</w:t>
      </w:r>
      <w:r>
        <w:t xml:space="preserve"> the five-year Estimates Base value. Prior to data release, we reaggregated all values into five-year age groups. Consequently, disaggregation was temporary and any inherent error from the process should have been alleviated when re-aggregated. </w:t>
      </w:r>
    </w:p>
    <w:p w14:paraId="231BE290" w14:textId="0E8DB772" w:rsidR="000C55F6" w:rsidRDefault="000C55F6" w:rsidP="006A61E1">
      <w:pPr>
        <w:pStyle w:val="Heading5"/>
      </w:pPr>
      <w:r>
        <w:t>Race and Ethnicity Classification</w:t>
      </w:r>
      <w:r w:rsidR="006D37CD">
        <w:t>s</w:t>
      </w:r>
    </w:p>
    <w:p w14:paraId="6EB3C441" w14:textId="0B60EB7B" w:rsidR="000C55F6" w:rsidRDefault="10469F33" w:rsidP="10469F33">
      <w:r>
        <w:t>Over the course of the prior six decades in which county net migration estimates have been calculated, various race/ethnic classification schemes have been used, primarily due to data availability. Prior to the 1990s, the net migration estimates classification was race-based and often separated into non-White and White categories.</w:t>
      </w:r>
      <w:r w:rsidR="004C5A26" w:rsidRPr="004C5A26">
        <w:rPr>
          <w:rStyle w:val="FootnoteReference"/>
        </w:rPr>
        <w:t xml:space="preserve"> </w:t>
      </w:r>
      <w:r w:rsidR="004C5A26" w:rsidRPr="72D6C981">
        <w:rPr>
          <w:rStyle w:val="FootnoteReference"/>
        </w:rPr>
        <w:footnoteReference w:id="3"/>
      </w:r>
      <w:r>
        <w:t xml:space="preserve"> For the 1990s and 2000s, author teams added a broader race/ethnic classification that created four mutually exclusive categories: Hispanic, non-Hispanic Black, non-Hispanic White, and non-Hispanic Other. To do so, </w:t>
      </w:r>
      <w:r w:rsidR="00E263B0">
        <w:t xml:space="preserve">the </w:t>
      </w:r>
      <w:r>
        <w:t>authors developed a prioritization schema under which persons and vital events identified as Hispanic/Latino, regardless of race, were categorized as Hispanic. Non-Hispanic persons were tallied based on those identified as a single race, and an allocation process was applied for (non-Hispanic) persons identified in the Census estimates as being of two or more races to assign them to the singular race categories (see Winkler et al., 2013 for details). Because of low numeric counts in many counties and limited data availability on births and deaths, persons identifying (or identified) as Asian, Native Hawaiian and other Pacific Islander, and American Indian and Alaskan Native were aggregated to an “</w:t>
      </w:r>
      <w:r w:rsidR="00E263B0">
        <w:t xml:space="preserve">non-Hispanic </w:t>
      </w:r>
      <w:r>
        <w:t>Other” category.</w:t>
      </w:r>
    </w:p>
    <w:p w14:paraId="730A49F4" w14:textId="5314A4E4" w:rsidR="008F09C1" w:rsidRDefault="10469F33" w:rsidP="00DE4068">
      <w:r>
        <w:t>For the 2010-2020 decade, data availability has improved enough to make it possible to separate the “other” category into more clearly defined racial groups that likely have different migration patterns. For the first time, we generate estimates for American Indians and Alaskan Natives (AIAN); and for Asians and Native Hawaiians &amp; other Pacific Islanders (ANHPI) as two separate groups. A review of recent literature (e.g., Liebler et al., 2016 and 2017) and consultations with experts led us to develop the following prioritization schema for the 2010-2020 estimates:</w:t>
      </w:r>
    </w:p>
    <w:p w14:paraId="421F3AE1" w14:textId="28C300B4" w:rsidR="00D421EC" w:rsidRDefault="00D421EC" w:rsidP="00D421EC">
      <w:pPr>
        <w:pStyle w:val="ListParagraph"/>
        <w:numPr>
          <w:ilvl w:val="0"/>
          <w:numId w:val="1"/>
        </w:numPr>
      </w:pPr>
      <w:r>
        <w:t>American Indians and Alaskan Natives</w:t>
      </w:r>
      <w:r w:rsidR="000F710B">
        <w:t xml:space="preserve"> (AIAN)</w:t>
      </w:r>
      <w:r>
        <w:t xml:space="preserve">: </w:t>
      </w:r>
      <w:r w:rsidR="00FB5ADF">
        <w:t>P</w:t>
      </w:r>
      <w:r>
        <w:t>riority was given to allocate persons who</w:t>
      </w:r>
      <w:r w:rsidR="00FB5ADF">
        <w:t xml:space="preserve"> identify as</w:t>
      </w:r>
      <w:r>
        <w:t xml:space="preserve"> American Indian or Alaskan Native, alone or in combination with other races</w:t>
      </w:r>
      <w:r w:rsidR="000F710B">
        <w:t xml:space="preserve">, of Hispanic origin or not, </w:t>
      </w:r>
      <w:r>
        <w:t xml:space="preserve">as </w:t>
      </w:r>
      <w:r w:rsidR="000F710B">
        <w:t>AIAN in our data set.</w:t>
      </w:r>
      <w:r w:rsidR="00BD186C">
        <w:t xml:space="preserve"> This </w:t>
      </w:r>
      <w:r w:rsidR="00E263B0">
        <w:t xml:space="preserve">prioritization </w:t>
      </w:r>
      <w:r w:rsidR="00BD186C">
        <w:t>mark</w:t>
      </w:r>
      <w:r w:rsidR="00E263B0">
        <w:t>ed</w:t>
      </w:r>
      <w:r w:rsidR="00BD186C">
        <w:t xml:space="preserve"> a significant difference in the classification of the AIAN population, including by the Census Bureau, which typically does not include people who identify as Hispanic among the AIAN population.</w:t>
      </w:r>
    </w:p>
    <w:p w14:paraId="57871E10" w14:textId="486A1CEE" w:rsidR="000F710B" w:rsidRDefault="000F710B" w:rsidP="00D421EC">
      <w:pPr>
        <w:pStyle w:val="ListParagraph"/>
        <w:numPr>
          <w:ilvl w:val="0"/>
          <w:numId w:val="1"/>
        </w:numPr>
      </w:pPr>
      <w:r>
        <w:t xml:space="preserve">Hispanics: </w:t>
      </w:r>
      <w:r w:rsidR="00AC4A61">
        <w:t>To remain consistent with the 1990s and 2000s estimates, we also gave p</w:t>
      </w:r>
      <w:r>
        <w:t xml:space="preserve">riority </w:t>
      </w:r>
      <w:r w:rsidR="00AC4A61">
        <w:t xml:space="preserve">to </w:t>
      </w:r>
      <w:r>
        <w:t>Hispanic origin</w:t>
      </w:r>
      <w:r w:rsidR="00FB5ADF">
        <w:t xml:space="preserve">, treating all those who identify as Hispanic, regardless of their race, as </w:t>
      </w:r>
      <w:r>
        <w:t>Hispanic in our data set</w:t>
      </w:r>
      <w:r w:rsidR="001B5EF6">
        <w:t>.</w:t>
      </w:r>
      <w:r w:rsidR="00FB5ADF">
        <w:t xml:space="preserve"> Data for Hispanics are complicated by changes to the US Census Bureau Population Estimates Program’s methodology for calculating the 2020 Estimates Base (discussed below). For this reason, net migration estimates for the Hispanic category will not be released until Fall 2024.</w:t>
      </w:r>
      <w:r w:rsidR="00BD186C">
        <w:t xml:space="preserve"> </w:t>
      </w:r>
    </w:p>
    <w:p w14:paraId="2D89CE48" w14:textId="78199E6A" w:rsidR="000F710B" w:rsidRDefault="3582CAD6" w:rsidP="00D421EC">
      <w:pPr>
        <w:pStyle w:val="ListParagraph"/>
        <w:numPr>
          <w:ilvl w:val="0"/>
          <w:numId w:val="1"/>
        </w:numPr>
      </w:pPr>
      <w:r>
        <w:t xml:space="preserve">Non-Hispanic race categories: The development of estimates for the three remaining categories in our data set—non-Hispanic Whites, non-Hispanic Blacks, and non-Hispanic ANHPI—required several iterative steps, because we needed to classify shares of those identifying as two or more races into one of these three discrete </w:t>
      </w:r>
      <w:proofErr w:type="spellStart"/>
      <w:r>
        <w:t>ethnoracial</w:t>
      </w:r>
      <w:proofErr w:type="spellEnd"/>
      <w:r>
        <w:t xml:space="preserve"> categories:</w:t>
      </w:r>
    </w:p>
    <w:p w14:paraId="00C123C1" w14:textId="49BEAFA9" w:rsidR="000F710B" w:rsidRDefault="3582CAD6" w:rsidP="000F710B">
      <w:pPr>
        <w:pStyle w:val="ListParagraph"/>
        <w:numPr>
          <w:ilvl w:val="1"/>
          <w:numId w:val="1"/>
        </w:numPr>
      </w:pPr>
      <w:r>
        <w:lastRenderedPageBreak/>
        <w:t xml:space="preserve">Non-Hispanic Two or More Races (NHTOM) balance: In the Census Bureau’s postcensal estimates (i.e., produced after the 2010 Census), all those reporting multiple races were included in a “Two or More” racial category. To include this population into our limited </w:t>
      </w:r>
      <w:proofErr w:type="spellStart"/>
      <w:r>
        <w:t>ethnoracial</w:t>
      </w:r>
      <w:proofErr w:type="spellEnd"/>
      <w:r>
        <w:t xml:space="preserve"> classification, we first subtract</w:t>
      </w:r>
      <w:r w:rsidR="00E263B0">
        <w:t>ed</w:t>
      </w:r>
      <w:r>
        <w:t xml:space="preserve"> people identifying as multiracial AIAN from the NHTOM category, found by taking the difference between non-Hispanic AIAN alone-or-in-combination and non-Hispanic AIAN alone categories. This distinction is necessary because we counted AIAN in combination with another race as AIAN in our classification above (see #1) and, consequently, we need</w:t>
      </w:r>
      <w:r w:rsidR="00E263B0">
        <w:t>ed</w:t>
      </w:r>
      <w:r>
        <w:t xml:space="preserve"> to remove them from the NHTOM group.</w:t>
      </w:r>
    </w:p>
    <w:p w14:paraId="0F9DDC17" w14:textId="5F02B8FD" w:rsidR="00F915A0" w:rsidRDefault="3582CAD6" w:rsidP="000F710B">
      <w:pPr>
        <w:pStyle w:val="ListParagraph"/>
        <w:numPr>
          <w:ilvl w:val="1"/>
          <w:numId w:val="1"/>
        </w:numPr>
      </w:pPr>
      <w:r>
        <w:t>NHTOM balance allocation: We then allocate</w:t>
      </w:r>
      <w:r w:rsidR="00E263B0">
        <w:t>d</w:t>
      </w:r>
      <w:r>
        <w:t xml:space="preserve"> the balance of the NHTOM group based on the proportion of the race-in-combination population minus the race-alone population for non-Hispanic ANHPI, non-Hispanic Blacks, and non-Hispanic Whites. This allocation follow</w:t>
      </w:r>
      <w:r w:rsidR="00E263B0">
        <w:t>ed</w:t>
      </w:r>
      <w:r>
        <w:t xml:space="preserve"> the same approach as was used to generate the 2000-2010 net migration estimates. This process effectively </w:t>
      </w:r>
      <w:r w:rsidR="00E263B0">
        <w:t>ap</w:t>
      </w:r>
      <w:r>
        <w:t>portion</w:t>
      </w:r>
      <w:r w:rsidR="00E263B0">
        <w:t>ed</w:t>
      </w:r>
      <w:r>
        <w:t xml:space="preserve"> shares of people identifying as multiple races into each of the different race categories with which they identify.</w:t>
      </w:r>
    </w:p>
    <w:p w14:paraId="29E1F416" w14:textId="1C0A5D95" w:rsidR="00F915A0" w:rsidRDefault="00F915A0" w:rsidP="000F710B">
      <w:pPr>
        <w:pStyle w:val="ListParagraph"/>
        <w:numPr>
          <w:ilvl w:val="1"/>
          <w:numId w:val="1"/>
        </w:numPr>
      </w:pPr>
      <w:r>
        <w:t xml:space="preserve">Non-Hispanic Whites, Blacks, </w:t>
      </w:r>
      <w:r w:rsidR="0059700F">
        <w:t>ANHPI</w:t>
      </w:r>
      <w:r w:rsidR="001B5EF6">
        <w:t xml:space="preserve">: These values </w:t>
      </w:r>
      <w:r w:rsidR="00E263B0">
        <w:t>we</w:t>
      </w:r>
      <w:r w:rsidR="001B5EF6">
        <w:t>re the sum of the respective “Race alone” categories and the allocated NHTOM balances.</w:t>
      </w:r>
    </w:p>
    <w:p w14:paraId="6D6EF7B6" w14:textId="3AD4EFC3" w:rsidR="00FB5ADF" w:rsidRDefault="3582CAD6" w:rsidP="00FB5ADF">
      <w:r>
        <w:t>Note that because AIAN Hispanics are counted both as AIAN and as Hispanic in the methods described above, summing net migrants across the set of race/ethnic categories will not sum to the total net migrants estimate. Instead, separate estimates for the total population are provided and should be more accurate than any of the race/ethnic-specific estimates when combined.</w:t>
      </w:r>
    </w:p>
    <w:p w14:paraId="04A11255" w14:textId="69955E38" w:rsidR="001F5887" w:rsidRDefault="0048390A" w:rsidP="001733C6">
      <w:pPr>
        <w:pStyle w:val="Heading5"/>
      </w:pPr>
      <w:r>
        <w:t xml:space="preserve">Census </w:t>
      </w:r>
      <w:r w:rsidR="00CF31C5">
        <w:t xml:space="preserve">2010 </w:t>
      </w:r>
      <w:r>
        <w:t>Estimates</w:t>
      </w:r>
      <w:r w:rsidR="00CF31C5">
        <w:t xml:space="preserve"> Base</w:t>
      </w:r>
      <w:r w:rsidR="004E41B3">
        <w:t xml:space="preserve"> Adjustments</w:t>
      </w:r>
    </w:p>
    <w:p w14:paraId="7502D90A" w14:textId="44B88B4E" w:rsidR="00E61FDC" w:rsidRDefault="4F8398E5" w:rsidP="00A96EBD">
      <w:r>
        <w:t xml:space="preserve">Two major post-enumeration analyses compared the official Census 2010 results to other population </w:t>
      </w:r>
      <w:r w:rsidR="00EC4460">
        <w:t>data sources</w:t>
      </w:r>
      <w:r>
        <w:t xml:space="preserve">: the Demographic Analysis, or DA (US Census Bureau, 2012) and the Census Coverage Measurement survey, or CCM (Mule, 2012). In different ways, these analyses provided guidance as to whether the Census under- or over-enumerated certain age, sex, race or Hispanic origin residents. For the 2010 Census, neither </w:t>
      </w:r>
      <w:r w:rsidR="00BD186C">
        <w:t xml:space="preserve">method </w:t>
      </w:r>
      <w:r>
        <w:t xml:space="preserve">indicated a statistically significant net undercount or overcount of the total population. However, </w:t>
      </w:r>
      <w:r w:rsidR="00BD186C">
        <w:t>the data suggest</w:t>
      </w:r>
      <w:r w:rsidR="00E263B0">
        <w:t>ed</w:t>
      </w:r>
      <w:r w:rsidR="00BD186C">
        <w:t xml:space="preserve"> certain population subgroups may have been </w:t>
      </w:r>
      <w:r>
        <w:t xml:space="preserve">under- or over-counted. </w:t>
      </w:r>
    </w:p>
    <w:p w14:paraId="791F1F93" w14:textId="0A5B138A" w:rsidR="00A96EBD" w:rsidRDefault="4F8398E5" w:rsidP="00A96EBD">
      <w:r>
        <w:t>Regarding race and Hispanic origin, the CCM showed a 2% net undercount for the Black population, 1.5% net undercount for the Hispanic population, 4.9% net undercount of the AIAN population, and a 0.8% net overcount among the non-Hispanic White population. In comparison, the DA showed about a 2% net undercount for the Black population but, when disaggregated by sex, indicated that Black males were undercounted by about 3.5% while Black females were overcounted by about 1.5%. Among non-Black populations, DA results again mimicked CCM, noting a 0.8% net overcount, but with divergent patterns between males and females with non-Black females being overcounted by about 1% and non-Black males undercounted by about 0.4%.</w:t>
      </w:r>
    </w:p>
    <w:p w14:paraId="2A4C04E8" w14:textId="2BB30C80" w:rsidR="00E61FDC" w:rsidRDefault="4F8398E5" w:rsidP="00A96EBD">
      <w:r>
        <w:t>By age, the CCM indicated statistically significant undercounts among young children of both sexes (age &lt;5), males age 18-29, and males age 30-49, but a net overcount among children age 10-17, females age 30-39, males over age 50, and females over age 50. The CCM did not find any state with a statistically significant net under- or over-count, but data for subgroups at the state level (i.e., by age, race, and sex) were not available.</w:t>
      </w:r>
    </w:p>
    <w:p w14:paraId="3B67BC9A" w14:textId="651A1535" w:rsidR="00D62C2E" w:rsidRDefault="4F8398E5" w:rsidP="00A96EBD">
      <w:r>
        <w:lastRenderedPageBreak/>
        <w:t>The DA provided specific estimates of the population by single year of age and sex, by Black/non-Black race and for Hispanic ethnicity among children. The reliability of DA data has been considered particularly sound for estimating the child population (Robinson 2001, O’Hare et al. 2016). However, the DA did not estimate differences for non-Hispanic White, AIAN or ANHPI, or Hispanic populations ages 20 and older.</w:t>
      </w:r>
    </w:p>
    <w:p w14:paraId="3A0B4450" w14:textId="0CC17C27" w:rsidR="00A96EBD" w:rsidRDefault="00A96EBD" w:rsidP="00A96EBD">
      <w:r>
        <w:t xml:space="preserve">In sum, results from CCM and DA </w:t>
      </w:r>
      <w:r w:rsidR="00D62C2E">
        <w:t xml:space="preserve">for 2010 </w:t>
      </w:r>
      <w:r>
        <w:t>suggest</w:t>
      </w:r>
      <w:r w:rsidR="00D62C2E">
        <w:t>ed</w:t>
      </w:r>
      <w:r>
        <w:t xml:space="preserve"> </w:t>
      </w:r>
      <w:r w:rsidR="00D62C2E">
        <w:t xml:space="preserve">the </w:t>
      </w:r>
      <w:r>
        <w:t xml:space="preserve">net undercount among some age, sex, race, </w:t>
      </w:r>
      <w:r w:rsidR="00D62C2E">
        <w:t xml:space="preserve">and </w:t>
      </w:r>
      <w:r>
        <w:t xml:space="preserve">ethnic categories cancelled out </w:t>
      </w:r>
      <w:r w:rsidR="00D62C2E">
        <w:t xml:space="preserve">the </w:t>
      </w:r>
      <w:r>
        <w:t>net overcount among other groups to produce a total net undercount/over</w:t>
      </w:r>
      <w:r w:rsidR="00E61FDC">
        <w:softHyphen/>
      </w:r>
      <w:r>
        <w:t xml:space="preserve">count </w:t>
      </w:r>
      <w:r w:rsidR="00E61FDC">
        <w:t xml:space="preserve">near </w:t>
      </w:r>
      <w:r>
        <w:t xml:space="preserve">zero. </w:t>
      </w:r>
      <w:r w:rsidR="00E61FDC">
        <w:t xml:space="preserve">However, </w:t>
      </w:r>
      <w:r>
        <w:t xml:space="preserve">age/sex/race/ethnic-specific undercounts/overcounts among some groups </w:t>
      </w:r>
      <w:r w:rsidR="00DE39CF">
        <w:t>were significant, indicating that adjusting for counting errors could improve net migration estimates</w:t>
      </w:r>
      <w:r>
        <w:t>.</w:t>
      </w:r>
      <w:r w:rsidR="00DE39CF">
        <w:t xml:space="preserve"> The team that generated the 2000-2010 net migration estimates made similar adjustments to the Census 2010 final population</w:t>
      </w:r>
      <w:r w:rsidR="0059700F">
        <w:t>. W</w:t>
      </w:r>
      <w:r w:rsidR="00DE39CF">
        <w:t xml:space="preserve">e generally followed their methods to adjust the 2010 population </w:t>
      </w:r>
      <w:r w:rsidR="00E263B0">
        <w:t>in setting</w:t>
      </w:r>
      <w:r w:rsidR="00DE39CF">
        <w:t xml:space="preserve"> the starting population of the 2010-2020 estimates.</w:t>
      </w:r>
    </w:p>
    <w:p w14:paraId="028AF17A" w14:textId="5AF210FD" w:rsidR="00D62C2E" w:rsidRDefault="4F8398E5" w:rsidP="00A96EBD">
      <w:r>
        <w:t>We selected an adjustment protocol that calculated the rate of difference between the DA and the census enumeration for age/race/sex groups where the CCM suggested there were statistically significant undercounts or overcounts. However, some assumptions still needed to be made:</w:t>
      </w:r>
    </w:p>
    <w:p w14:paraId="4DD64B08" w14:textId="22E4F806" w:rsidR="00D62C2E" w:rsidRDefault="23F811B6" w:rsidP="00D62C2E">
      <w:pPr>
        <w:pStyle w:val="ListParagraph"/>
        <w:numPr>
          <w:ilvl w:val="0"/>
          <w:numId w:val="2"/>
        </w:numPr>
      </w:pPr>
      <w:r>
        <w:t>Because CCM indicated more undercount of AIAN than of Black populations, we applied the undercount rate for Black males to AIAN males, and ½ the undercount rate for Black males to AIAN females.</w:t>
      </w:r>
    </w:p>
    <w:p w14:paraId="5FC78B5D" w14:textId="450BB241" w:rsidR="008B652F" w:rsidRDefault="4F8398E5" w:rsidP="00D62C2E">
      <w:pPr>
        <w:pStyle w:val="ListParagraph"/>
        <w:numPr>
          <w:ilvl w:val="0"/>
          <w:numId w:val="2"/>
        </w:numPr>
      </w:pPr>
      <w:r>
        <w:t>Because CCM did not show any significant net undercount/overcount of the Asian population, we did not adjust the ANHPI population.</w:t>
      </w:r>
    </w:p>
    <w:p w14:paraId="15F73D31" w14:textId="099F525F" w:rsidR="008B652F" w:rsidRDefault="4F8398E5" w:rsidP="00D62C2E">
      <w:pPr>
        <w:pStyle w:val="ListParagraph"/>
        <w:numPr>
          <w:ilvl w:val="0"/>
          <w:numId w:val="2"/>
        </w:numPr>
      </w:pPr>
      <w:r>
        <w:t>CCM indicated about ½ a percentage point less undercount for Hispanic than Black populations. For the Hispanic population under age 20 (where DA estimates were available), we relied on the DA estimates to adjust the population. For the Hispanic population age 20 and over, we assumed the undercount rate of Hispanic males to be 25% less than that of Black males and the undercount rate of Hispanic females to be 200% less than Black males.</w:t>
      </w:r>
    </w:p>
    <w:p w14:paraId="5BD5797F" w14:textId="7B0B04FD" w:rsidR="008B652F" w:rsidRDefault="008B652F" w:rsidP="00D62C2E">
      <w:pPr>
        <w:pStyle w:val="ListParagraph"/>
        <w:numPr>
          <w:ilvl w:val="0"/>
          <w:numId w:val="2"/>
        </w:numPr>
      </w:pPr>
      <w:r>
        <w:t>W</w:t>
      </w:r>
      <w:r w:rsidR="00A96EBD">
        <w:t>e assume</w:t>
      </w:r>
      <w:r>
        <w:t>d</w:t>
      </w:r>
      <w:r w:rsidR="00A96EBD">
        <w:t xml:space="preserve"> that </w:t>
      </w:r>
      <w:r>
        <w:t xml:space="preserve">the </w:t>
      </w:r>
      <w:r w:rsidR="00A96EBD">
        <w:t xml:space="preserve">non-Hispanic </w:t>
      </w:r>
      <w:r>
        <w:t>W</w:t>
      </w:r>
      <w:r w:rsidR="00A96EBD">
        <w:t xml:space="preserve">hite undercount/overcount rates </w:t>
      </w:r>
      <w:r>
        <w:t>we</w:t>
      </w:r>
      <w:r w:rsidR="00A96EBD">
        <w:t>re slightly higher than for the non</w:t>
      </w:r>
      <w:r>
        <w:t>-B</w:t>
      </w:r>
      <w:r w:rsidR="00A96EBD">
        <w:t>lack group as a whole, which would include Hispanics and AIANs.</w:t>
      </w:r>
    </w:p>
    <w:p w14:paraId="3A06BDBB" w14:textId="1A1A4C9C" w:rsidR="00A96EBD" w:rsidRDefault="23F811B6" w:rsidP="008B652F">
      <w:r>
        <w:t>Altogether, adjusting the populations in the above ways cumulatively produced net undercount/overcount rates similar to the CCM estimates.</w:t>
      </w:r>
    </w:p>
    <w:p w14:paraId="62A4619F" w14:textId="48F25691" w:rsidR="00A43246" w:rsidRPr="0048390A" w:rsidRDefault="2620C54D" w:rsidP="00A96EBD">
      <w:r>
        <w:t xml:space="preserve">Appendix 1 shows the specific adjustments made. These adjustments were multiplied by the census estimates base population for 4/1/2010 to generate the adjusted 2010 starting population by the age, sex, race and Hispanic origin categories used to construct the </w:t>
      </w:r>
      <w:r w:rsidR="00F6702C">
        <w:t xml:space="preserve">2010-2020 </w:t>
      </w:r>
      <w:r>
        <w:t xml:space="preserve">net migration estimates. A </w:t>
      </w:r>
      <w:r w:rsidR="006F6CA7">
        <w:t>necessary, though admittedly simplified</w:t>
      </w:r>
      <w:r w:rsidR="00F6702C">
        <w:t>,</w:t>
      </w:r>
      <w:r w:rsidR="006F6CA7">
        <w:t xml:space="preserve"> assumption </w:t>
      </w:r>
      <w:r>
        <w:t>we had to make was that these adjustments apply equally across all U.S. counties and their component age, sex, race and Hispanic origin populations.</w:t>
      </w:r>
    </w:p>
    <w:p w14:paraId="75409076" w14:textId="5F168D73" w:rsidR="00CF31C5" w:rsidRDefault="00CF31C5" w:rsidP="001733C6">
      <w:pPr>
        <w:pStyle w:val="Heading4"/>
      </w:pPr>
      <w:r>
        <w:t>Ending Population at 2020</w:t>
      </w:r>
    </w:p>
    <w:p w14:paraId="74C94296" w14:textId="1AAA45F8" w:rsidR="003567E0" w:rsidRDefault="003567E0">
      <w:r>
        <w:t xml:space="preserve">For the ending population in 2020, we used the 4/1/2020 Estimates Base that was produced by the U.S. Census Bureau’s Population Estimates Program, vintage 2022 (U.S. Census Bureau, 2023). This estimate is analogous to the starting population (Estimate Base for 4/1/2010) and matches the methods used to generate the 2000-2010 net migration estimates series (Winkler et al., 2013). </w:t>
      </w:r>
    </w:p>
    <w:p w14:paraId="0E689EFC" w14:textId="45708BA5" w:rsidR="007569F4" w:rsidRDefault="70B3E224">
      <w:r>
        <w:lastRenderedPageBreak/>
        <w:t>An alternative ending population would have been the Census 2020 enumerated population. Due to the global COVID-19 pandemic that struck the United States starting in February and March 2020, the Census Bureau experienced delays and response issues in carrying out the Census 2020 enumeration and</w:t>
      </w:r>
      <w:r w:rsidR="00F6702C">
        <w:t>,</w:t>
      </w:r>
      <w:r>
        <w:t xml:space="preserve"> consequently</w:t>
      </w:r>
      <w:r w:rsidR="00F6702C">
        <w:t>,</w:t>
      </w:r>
      <w:r>
        <w:t xml:space="preserve"> its release of 2020 results. Moreover, Census 2020 data were infused with noise following a differential </w:t>
      </w:r>
      <w:r w:rsidR="00423967">
        <w:t xml:space="preserve">privacy </w:t>
      </w:r>
      <w:r>
        <w:t xml:space="preserve">algorithm that affects the accuracy of the counts, especially for age by race/ethnic and sex groups in smaller population counties (Long, 2022; Winkler et al., 2021), and post-Census 2020 analysis revealed significant undercount/overcount differentials by age, sex, race, and Hispanic-origin (Jensen and Kennel, 2022; Sullivan and Cork, 2023). </w:t>
      </w:r>
    </w:p>
    <w:p w14:paraId="082414CD" w14:textId="084D681E" w:rsidR="00892E43" w:rsidRDefault="70B3E224" w:rsidP="205D882B">
      <w:r>
        <w:t>For these reasons, we use</w:t>
      </w:r>
      <w:r w:rsidR="00F6702C">
        <w:t>d</w:t>
      </w:r>
      <w:r>
        <w:t xml:space="preserve"> the 2020 Estimates Base for 4/1/2020. The Estimates Base offer</w:t>
      </w:r>
      <w:r w:rsidR="00F6702C">
        <w:t>ed</w:t>
      </w:r>
      <w:r>
        <w:t xml:space="preserve"> distinct advantages over using the 2020 enumeration including</w:t>
      </w:r>
      <w:r w:rsidR="00F6702C">
        <w:t xml:space="preserve"> that</w:t>
      </w:r>
      <w:r>
        <w:t xml:space="preserve"> the base integrate</w:t>
      </w:r>
      <w:r w:rsidR="00F6702C">
        <w:t>d</w:t>
      </w:r>
      <w:r>
        <w:t xml:space="preserve"> administrative records, which effectively addresse</w:t>
      </w:r>
      <w:r w:rsidR="00F6702C">
        <w:t>d</w:t>
      </w:r>
      <w:r>
        <w:t xml:space="preserve"> undercount and overcount differentials by age/sex/race/ethnicity (Hartley and Rogers, 2023a</w:t>
      </w:r>
      <w:r w:rsidR="00F6702C">
        <w:t>). T</w:t>
      </w:r>
      <w:r>
        <w:t xml:space="preserve">hus, </w:t>
      </w:r>
      <w:r w:rsidR="00F6702C">
        <w:t>the author</w:t>
      </w:r>
      <w:r>
        <w:t xml:space="preserve"> team did not need to make further adjustments for undercount or overcount. In the years following Census 2020, the Population Estimates Program produced a “blended base” version of the Estimates Base by employing three different population data sources: the 2020 Census PL 94-171 redistricting file, the 2020 Demographic Analysis (DA) estimates</w:t>
      </w:r>
      <w:r w:rsidR="00F6702C">
        <w:t>,</w:t>
      </w:r>
      <w:r>
        <w:t xml:space="preserve"> and the vintage 2020 postcensal population estimates which were based on the 2010 Census and administrative records (U.S. Census Bureau 2022). While the redistricting file ensured the total population estimates at the national, state and county levels would match the final Census 2020 product, the use of DA and postcensal estimates introduced variability in the age, sex and race/Hispanic origin estimates (Hartley and Rogers, 2023b). </w:t>
      </w:r>
    </w:p>
    <w:p w14:paraId="1CA84FEB" w14:textId="151B3A20" w:rsidR="002B0747" w:rsidRDefault="70B3E224">
      <w:r>
        <w:t>Another advantage to using the Estimates Base include</w:t>
      </w:r>
      <w:r w:rsidR="00F6702C">
        <w:t>d</w:t>
      </w:r>
      <w:r>
        <w:t xml:space="preserve"> consistent race and Hispanic origin categories across the 2010-2020 decade. The question about race changed in the 2020 census compared to 2010 and would have added further complication to our own race/ethnic classification system. </w:t>
      </w:r>
    </w:p>
    <w:p w14:paraId="4C9D023D" w14:textId="745E46B6" w:rsidR="00C101B0" w:rsidRDefault="00C101B0" w:rsidP="00C101B0">
      <w:r w:rsidRPr="00E71B10">
        <w:t xml:space="preserve">One issue in using the vintage 2022 </w:t>
      </w:r>
      <w:r w:rsidR="00E71B10" w:rsidRPr="00E71B10">
        <w:t>Estimates Base</w:t>
      </w:r>
      <w:r w:rsidRPr="00E71B10">
        <w:t xml:space="preserve"> was that data for Connecticut’s eight former counties had been converted to </w:t>
      </w:r>
      <w:r w:rsidR="00916769" w:rsidRPr="00E71B10">
        <w:t>nine planning regions.</w:t>
      </w:r>
      <w:r w:rsidR="00D279D6" w:rsidRPr="00E71B10">
        <w:t xml:space="preserve"> </w:t>
      </w:r>
      <w:r w:rsidR="00C4244E" w:rsidRPr="00E71B10">
        <w:t>To</w:t>
      </w:r>
      <w:r w:rsidR="00E71B10" w:rsidRPr="00E71B10">
        <w:t xml:space="preserve"> restore the 2020 populations to the former counties, we apportioned the state-level vintage 2022 Estimates Base values (by age, sex, race and Hispanic origin) to the former counties based on their vintage 2021 Estimates Base age-sex-race-Hispanic origin values.</w:t>
      </w:r>
    </w:p>
    <w:p w14:paraId="2D4F341F" w14:textId="07E161D6" w:rsidR="007569F4" w:rsidRDefault="007569F4" w:rsidP="007569F4">
      <w:pPr>
        <w:pStyle w:val="Heading4"/>
      </w:pPr>
      <w:r>
        <w:t>Births 2010 -2020</w:t>
      </w:r>
    </w:p>
    <w:p w14:paraId="1776A3E7" w14:textId="1C9FF4FB" w:rsidR="00D279D6" w:rsidRDefault="0AF7E0BB" w:rsidP="00D279D6">
      <w:r>
        <w:t>Data on births by county of mother’s usual place of residence are based on birth certificate records that are first filed with states and then collected by the National Center for Health Statistics (NCHS). Over 99% of births are registered in the United States (National Center for Health Statistics, 2022), making these data an accurate source to estimate a starting population for people who were not yet born at Census 2010. We obtained access to birth records via a restricted-use data use agreement with NCHS. The restricted files contain county identifiers as well as sex and race/Hispanic origin variables. NCHS provides the data on a calendar year basis. For our calculations, the data were re-organized into “data years” (April through March). We obtained data for calendar years 2010 through 2020, permitting us to calculate births by geographic (county) and person variables for the full April 2010 t</w:t>
      </w:r>
      <w:r w:rsidR="00997EA4">
        <w:t>hrough</w:t>
      </w:r>
      <w:r>
        <w:t xml:space="preserve"> </w:t>
      </w:r>
      <w:r w:rsidR="00997EA4">
        <w:t>March</w:t>
      </w:r>
      <w:r>
        <w:t xml:space="preserve"> 2020 intercensal decade. All adjustments, analyses, interpretations, and conclusions are those of the net migration estimates author team, and not attributable to NCHS, which is responsible only for the initial data.</w:t>
      </w:r>
    </w:p>
    <w:p w14:paraId="62CA5E31" w14:textId="03EBF1C0" w:rsidR="00E56B55" w:rsidRDefault="0AF7E0BB" w:rsidP="0AF7E0BB">
      <w:r>
        <w:lastRenderedPageBreak/>
        <w:t xml:space="preserve">We made assumptions about a newborn child’s race/ethnic identification based on the race and ethnicity of their parents, as recorded in the NCHS data. NCHS’s coding of births by race and Hispanic origin, and changes </w:t>
      </w:r>
      <w:r w:rsidR="00423967">
        <w:t xml:space="preserve">to these procedures over </w:t>
      </w:r>
      <w:r>
        <w:t xml:space="preserve">the decade, required us to make several assumptions to align with the broader </w:t>
      </w:r>
      <w:proofErr w:type="spellStart"/>
      <w:r>
        <w:t>ethnoracial</w:t>
      </w:r>
      <w:proofErr w:type="spellEnd"/>
      <w:r>
        <w:t xml:space="preserve"> classification described above (</w:t>
      </w:r>
      <w:r w:rsidRPr="00997EA4">
        <w:rPr>
          <w:i/>
          <w:iCs/>
        </w:rPr>
        <w:t xml:space="preserve">Race and Ethnicity Classifications </w:t>
      </w:r>
      <w:r>
        <w:t>section). One challenge is frequently missing race and Hispanic identification</w:t>
      </w:r>
      <w:r w:rsidR="00997EA4">
        <w:t xml:space="preserve"> </w:t>
      </w:r>
      <w:r>
        <w:t>for fathers. For example, in calendar year 2010, 19% of paternal records lacked a race identifier and 15% lacked Hispanic origin. In contrast, only 0.7% of maternal records lacked Hispanic origin identification. For this reason, we prioritize using mothers’ race/ethnicity to ascribe to the child.</w:t>
      </w:r>
    </w:p>
    <w:p w14:paraId="35FDF36D" w14:textId="700ADE9E" w:rsidR="00427C1B" w:rsidRDefault="00E56B55" w:rsidP="0027523C">
      <w:r>
        <w:t xml:space="preserve">Another challenge </w:t>
      </w:r>
      <w:r w:rsidR="00697C44">
        <w:t xml:space="preserve">with birth data concerns changes to the </w:t>
      </w:r>
      <w:r>
        <w:t xml:space="preserve">options for recording race/ethnic information between 2010 and 2020. </w:t>
      </w:r>
      <w:r w:rsidR="00427C1B" w:rsidRPr="00427C1B">
        <w:t xml:space="preserve">At the start of the decade, </w:t>
      </w:r>
      <w:r w:rsidR="0027523C">
        <w:t xml:space="preserve">the NCHS data </w:t>
      </w:r>
      <w:r>
        <w:t>recorded</w:t>
      </w:r>
      <w:r w:rsidR="0027523C">
        <w:t xml:space="preserve"> a single race for the child’s mother and</w:t>
      </w:r>
      <w:r>
        <w:t xml:space="preserve"> similarly a single race</w:t>
      </w:r>
      <w:r w:rsidR="0027523C">
        <w:t xml:space="preserve"> for the father, with race categories limited to American Indian/Alaskan Native</w:t>
      </w:r>
      <w:r w:rsidR="00697C44">
        <w:t>, Asian/Pacific Islander, Black, and White</w:t>
      </w:r>
      <w:r w:rsidR="0027523C">
        <w:t>. Hispanic origin identification was provided for both parents</w:t>
      </w:r>
      <w:r w:rsidR="00926543">
        <w:t xml:space="preserve">, using the classifications: </w:t>
      </w:r>
      <w:r w:rsidR="00926543" w:rsidRPr="00926543">
        <w:t>Mexican, Puerto Rican, Cuban, Central or South American,</w:t>
      </w:r>
      <w:r w:rsidR="00926543">
        <w:t xml:space="preserve"> or</w:t>
      </w:r>
      <w:r w:rsidR="00926543" w:rsidRPr="00926543">
        <w:t xml:space="preserve"> Other and Unknown Hispanic</w:t>
      </w:r>
      <w:r w:rsidR="0027523C">
        <w:t xml:space="preserve">. </w:t>
      </w:r>
      <w:r w:rsidR="001C3F7D">
        <w:t>Beginning with calendar year 2012 and gradually implement</w:t>
      </w:r>
      <w:r w:rsidR="00997EA4">
        <w:t>ed</w:t>
      </w:r>
      <w:r w:rsidR="001C3F7D">
        <w:t xml:space="preserve"> for all states by 2018</w:t>
      </w:r>
      <w:r>
        <w:t>,</w:t>
      </w:r>
      <w:r w:rsidRPr="008F132C">
        <w:t xml:space="preserve"> </w:t>
      </w:r>
      <w:r w:rsidR="00670C4B">
        <w:t>NCHS</w:t>
      </w:r>
      <w:r w:rsidRPr="008F132C">
        <w:t xml:space="preserve"> began </w:t>
      </w:r>
      <w:r>
        <w:t xml:space="preserve">to allow for </w:t>
      </w:r>
      <w:r w:rsidRPr="008F132C">
        <w:t xml:space="preserve">multi-racial identification of </w:t>
      </w:r>
      <w:r>
        <w:t xml:space="preserve">both </w:t>
      </w:r>
      <w:r w:rsidRPr="008F132C">
        <w:t>the mother and father</w:t>
      </w:r>
      <w:r w:rsidR="00926543">
        <w:t>, and it simplified the Hispanic sub-groups</w:t>
      </w:r>
      <w:r w:rsidRPr="008F132C">
        <w:t>.</w:t>
      </w:r>
      <w:r>
        <w:t xml:space="preserve"> </w:t>
      </w:r>
      <w:r w:rsidR="00C21A27">
        <w:t>A relatively small proportion of births identified parents as multi-racial (2.3% of mothers in 2014, 2.6% in 2018)</w:t>
      </w:r>
      <w:r w:rsidR="001C3F7D">
        <w:t>. S</w:t>
      </w:r>
      <w:r w:rsidR="00C21A27">
        <w:t xml:space="preserve">till, this mid-decade </w:t>
      </w:r>
      <w:r w:rsidR="009615D9">
        <w:t xml:space="preserve">change </w:t>
      </w:r>
      <w:r w:rsidR="00C21A27">
        <w:t xml:space="preserve">meant </w:t>
      </w:r>
      <w:r w:rsidR="00697C44">
        <w:t xml:space="preserve">our team </w:t>
      </w:r>
      <w:r w:rsidR="00C21A27">
        <w:t>had to make some adjustments</w:t>
      </w:r>
      <w:r>
        <w:t xml:space="preserve">. </w:t>
      </w:r>
    </w:p>
    <w:p w14:paraId="115EBD0E" w14:textId="5DF687A6" w:rsidR="009615D9" w:rsidRDefault="28874005" w:rsidP="008F132C">
      <w:r>
        <w:t xml:space="preserve">To attribute race to infants, we first assigned the race and Hispanic origin status of the mother. If either or both values were missing, we applied the race/Hispanic origin status of the father. We handled this differently for AIAN populations to </w:t>
      </w:r>
      <w:r w:rsidR="00464554">
        <w:t xml:space="preserve">remain </w:t>
      </w:r>
      <w:r>
        <w:t xml:space="preserve">consistent with classifying AIAN populations alone or in combination as AIAN. If either the mother or father were identified as AIAN alone or in combination with another race, we assigned the child to </w:t>
      </w:r>
      <w:r w:rsidR="00464554">
        <w:t xml:space="preserve">the </w:t>
      </w:r>
      <w:r>
        <w:t>AIAN</w:t>
      </w:r>
      <w:r w:rsidR="00464554">
        <w:t xml:space="preserve"> group</w:t>
      </w:r>
      <w:r>
        <w:t xml:space="preserve">. Because multi-race information is not fully available in the earlier years’ data, we expect </w:t>
      </w:r>
      <w:r w:rsidR="00464554">
        <w:t>our approach</w:t>
      </w:r>
      <w:r>
        <w:t xml:space="preserve"> </w:t>
      </w:r>
      <w:r w:rsidR="00464554">
        <w:t xml:space="preserve">underestimates </w:t>
      </w:r>
      <w:r>
        <w:t>AIAN births (this is the group most impacted by multiracial identification) and</w:t>
      </w:r>
      <w:r w:rsidR="00464554">
        <w:t>,</w:t>
      </w:r>
      <w:r>
        <w:t xml:space="preserve"> thus</w:t>
      </w:r>
      <w:r w:rsidR="00464554">
        <w:t>,</w:t>
      </w:r>
      <w:r>
        <w:t xml:space="preserve"> </w:t>
      </w:r>
      <w:r w:rsidR="00464554">
        <w:t xml:space="preserve">overestimates </w:t>
      </w:r>
      <w:r>
        <w:t>net migration among AIAN children. For this reason, we ultimately decided to suppress net migration estimates for AIAN children under age 10.</w:t>
      </w:r>
    </w:p>
    <w:p w14:paraId="1A0D7CF3" w14:textId="63BA9E77" w:rsidR="00C4244E" w:rsidRDefault="00AB3B48" w:rsidP="008F132C">
      <w:r>
        <w:t xml:space="preserve">All other </w:t>
      </w:r>
      <w:r w:rsidR="00C21A27">
        <w:t xml:space="preserve">race/ethnic </w:t>
      </w:r>
      <w:r>
        <w:t xml:space="preserve">attributions </w:t>
      </w:r>
      <w:r w:rsidR="00C21A27">
        <w:t xml:space="preserve">followed the same </w:t>
      </w:r>
      <w:r w:rsidR="00370A56">
        <w:t xml:space="preserve">scheme as described above in the </w:t>
      </w:r>
      <w:r w:rsidR="00370A56" w:rsidRPr="00997EA4">
        <w:rPr>
          <w:i/>
          <w:iCs/>
        </w:rPr>
        <w:t>Starting Population</w:t>
      </w:r>
      <w:r w:rsidR="00370A56">
        <w:t xml:space="preserve"> section. A small number of births (e.g., 0.4% in calendar year 2010) had White race identified but no Hispanic origin identifier</w:t>
      </w:r>
      <w:r w:rsidR="008F132C">
        <w:t xml:space="preserve">. </w:t>
      </w:r>
      <w:r w:rsidR="003D2DBD">
        <w:t xml:space="preserve">Consequently, we allocated these </w:t>
      </w:r>
      <w:r w:rsidR="00370A56">
        <w:t xml:space="preserve">births as Hispanic or not Hispanic in proportion to a county’s known non-White Hispanic </w:t>
      </w:r>
      <w:r w:rsidR="003D2DBD">
        <w:t>and White Hispanic</w:t>
      </w:r>
      <w:r w:rsidR="003D2DBD" w:rsidRPr="003D2DBD">
        <w:t xml:space="preserve"> </w:t>
      </w:r>
      <w:r w:rsidR="003D2DBD">
        <w:t>births</w:t>
      </w:r>
      <w:r w:rsidR="008F132C">
        <w:t xml:space="preserve">, as well as a national adjustment factor </w:t>
      </w:r>
      <w:r w:rsidR="0038679F">
        <w:t>reflecting</w:t>
      </w:r>
      <w:r w:rsidR="008F132C">
        <w:t xml:space="preserve"> the population of Hispanic and non-Hispanic women ages 15-44.</w:t>
      </w:r>
      <w:r w:rsidR="001C3F7D">
        <w:t xml:space="preserve"> </w:t>
      </w:r>
    </w:p>
    <w:p w14:paraId="68B1A288" w14:textId="509190E0" w:rsidR="007569F4" w:rsidRDefault="0038679F">
      <w:r>
        <w:t xml:space="preserve">A </w:t>
      </w:r>
      <w:r w:rsidR="00662402">
        <w:t xml:space="preserve">limitation of using birth records of this sort is that </w:t>
      </w:r>
      <w:r w:rsidR="006A6B06">
        <w:t>some</w:t>
      </w:r>
      <w:r w:rsidR="00662402">
        <w:t xml:space="preserve"> births </w:t>
      </w:r>
      <w:r w:rsidR="00423967">
        <w:t xml:space="preserve">may have been assigned to the county of birth rather than to the county of </w:t>
      </w:r>
      <w:r w:rsidR="00662402">
        <w:t xml:space="preserve">mother’s residence. </w:t>
      </w:r>
      <w:r w:rsidR="006A6B06">
        <w:t>Some evidence suggests that births may be overstated in urban counties and understated in more suburban or rural counties</w:t>
      </w:r>
      <w:r w:rsidR="00662402">
        <w:t xml:space="preserve"> </w:t>
      </w:r>
      <w:r w:rsidR="006A6B06">
        <w:t xml:space="preserve">(National Center for Health Statistics, 2022). </w:t>
      </w:r>
      <w:r>
        <w:t>As a result</w:t>
      </w:r>
      <w:r w:rsidR="006A6B06">
        <w:t>, the corresponding net migration estimates for ages 0-4 and 5-9 could be overestimated</w:t>
      </w:r>
      <w:r>
        <w:t xml:space="preserve"> for counties with undercounted births</w:t>
      </w:r>
      <w:r w:rsidR="006A6B06">
        <w:t xml:space="preserve">.  </w:t>
      </w:r>
    </w:p>
    <w:p w14:paraId="04FA60E1" w14:textId="326627EE" w:rsidR="007569F4" w:rsidRDefault="007569F4" w:rsidP="007569F4">
      <w:pPr>
        <w:pStyle w:val="Heading4"/>
      </w:pPr>
      <w:r>
        <w:t>Deaths 2010 -2020</w:t>
      </w:r>
    </w:p>
    <w:p w14:paraId="42FCE96A" w14:textId="7B6FC480" w:rsidR="007569F4" w:rsidRDefault="00703530" w:rsidP="007569F4">
      <w:r>
        <w:t xml:space="preserve">Data on deaths by county of residence are based on death certificate records that are first filed with states and then collected by NCHS. </w:t>
      </w:r>
      <w:r w:rsidR="00D005CA">
        <w:t xml:space="preserve">Our team </w:t>
      </w:r>
      <w:r>
        <w:t xml:space="preserve">obtained access to death records via a restricted-use data use agreement with NCHS. </w:t>
      </w:r>
      <w:r w:rsidR="007569F4">
        <w:t xml:space="preserve">The NCHS mortality files’ variables pertinent to our project </w:t>
      </w:r>
      <w:r w:rsidR="007D2060">
        <w:t>we</w:t>
      </w:r>
      <w:r w:rsidR="007569F4">
        <w:t xml:space="preserve">re county of residence, race, Hispanic origin, sex, month of death and age at death. Like the birth data, </w:t>
      </w:r>
      <w:r>
        <w:t>we re-</w:t>
      </w:r>
      <w:r>
        <w:lastRenderedPageBreak/>
        <w:t xml:space="preserve">organized </w:t>
      </w:r>
      <w:r w:rsidR="007569F4">
        <w:t>the calendar-year-based death records to “data years” (April through March).</w:t>
      </w:r>
      <w:r w:rsidR="009615D9">
        <w:t xml:space="preserve"> All adjustments,</w:t>
      </w:r>
      <w:r w:rsidR="009615D9" w:rsidRPr="00C774E2">
        <w:t xml:space="preserve"> analyses, interpretations, </w:t>
      </w:r>
      <w:r w:rsidR="009615D9">
        <w:t>and</w:t>
      </w:r>
      <w:r w:rsidR="009615D9" w:rsidRPr="00C774E2">
        <w:t xml:space="preserve"> conclusions </w:t>
      </w:r>
      <w:r w:rsidR="009615D9">
        <w:t xml:space="preserve">are those of the net migration estimates author team, </w:t>
      </w:r>
      <w:r w:rsidR="009615D9" w:rsidRPr="00C774E2">
        <w:t xml:space="preserve">and not </w:t>
      </w:r>
      <w:r w:rsidR="009615D9">
        <w:t xml:space="preserve">attributable </w:t>
      </w:r>
      <w:r w:rsidR="009615D9" w:rsidRPr="00C774E2">
        <w:t>to NCHS, which is responsible only for the initial data.</w:t>
      </w:r>
    </w:p>
    <w:p w14:paraId="379B57BD" w14:textId="09D26E9F" w:rsidR="009E1854" w:rsidRDefault="7E7EF851" w:rsidP="007569F4">
      <w:r>
        <w:t>To generate race and Hispanic origin net migration estimates, we need</w:t>
      </w:r>
      <w:r w:rsidR="00BE6145">
        <w:t>ed</w:t>
      </w:r>
      <w:r>
        <w:t xml:space="preserve"> to classify deaths using the same categories used in the starting and ending populations as much as possible. </w:t>
      </w:r>
      <w:r w:rsidR="00BE6145">
        <w:t>C</w:t>
      </w:r>
      <w:r>
        <w:t>lassif</w:t>
      </w:r>
      <w:r w:rsidR="00BE6145">
        <w:t xml:space="preserve">ying deaths by race/ethnicity </w:t>
      </w:r>
      <w:r>
        <w:t>is complicated by the fact that reporting of race and ethnicity come</w:t>
      </w:r>
      <w:r w:rsidR="00F6702C">
        <w:t>s</w:t>
      </w:r>
      <w:r>
        <w:t xml:space="preserve"> from two different sources. The starting and ending populations are derived from decennial census data where respondents self-report their race and ethnicity. Self-report is not possible in mortality data, so classification is derived from responses to race and Hispanic-origin items on the death certificate, which is typically completed by a funeral director (Arias, Heron and Hakes, 2016). We made necessary adjustments and modifications to address these data limitations and related complications, as described in the paragraphs that follow.</w:t>
      </w:r>
    </w:p>
    <w:p w14:paraId="7B9369F6" w14:textId="6B631D18" w:rsidR="007569F4" w:rsidRDefault="009E1854" w:rsidP="007569F4">
      <w:r>
        <w:t>Generally</w:t>
      </w:r>
      <w:r w:rsidR="00370D3E">
        <w:t>, we applied t</w:t>
      </w:r>
      <w:r w:rsidR="007569F4">
        <w:t xml:space="preserve">he same prioritization schema that was established for the base population </w:t>
      </w:r>
      <w:r w:rsidR="00370D3E">
        <w:t>described above</w:t>
      </w:r>
      <w:r w:rsidR="00C179B8">
        <w:t xml:space="preserve">, as much as NCHS data would allow. </w:t>
      </w:r>
    </w:p>
    <w:p w14:paraId="6154F621" w14:textId="76864A12" w:rsidR="007569F4" w:rsidRDefault="007569F4" w:rsidP="007569F4">
      <w:pPr>
        <w:pStyle w:val="ListParagraph"/>
        <w:numPr>
          <w:ilvl w:val="0"/>
          <w:numId w:val="3"/>
        </w:numPr>
      </w:pPr>
      <w:r>
        <w:t>American Indian and Alaskan Natives</w:t>
      </w:r>
      <w:r w:rsidR="008B30C0">
        <w:t xml:space="preserve"> (AIAN)</w:t>
      </w:r>
      <w:r>
        <w:t xml:space="preserve">: </w:t>
      </w:r>
      <w:r w:rsidR="002A304C">
        <w:t xml:space="preserve">Deaths were </w:t>
      </w:r>
      <w:r>
        <w:t>assigned</w:t>
      </w:r>
      <w:r w:rsidR="002A304C">
        <w:t xml:space="preserve"> AIAN</w:t>
      </w:r>
      <w:r>
        <w:t xml:space="preserve"> </w:t>
      </w:r>
      <w:r w:rsidR="00B2500B">
        <w:t xml:space="preserve">if </w:t>
      </w:r>
      <w:r w:rsidR="002A304C">
        <w:t xml:space="preserve">the deceased was </w:t>
      </w:r>
      <w:r w:rsidR="00B2500B">
        <w:t xml:space="preserve">classified as </w:t>
      </w:r>
      <w:r w:rsidR="00670C4B">
        <w:t xml:space="preserve">a single-race </w:t>
      </w:r>
      <w:r w:rsidR="00B2500B">
        <w:t xml:space="preserve">or </w:t>
      </w:r>
      <w:r w:rsidR="00670C4B">
        <w:t xml:space="preserve">in combination with other races </w:t>
      </w:r>
      <w:r w:rsidR="00B2500B">
        <w:t>as part of a multiracial classification</w:t>
      </w:r>
      <w:r>
        <w:t>, without regard to Hispanic or non-Hispanic origin</w:t>
      </w:r>
      <w:r w:rsidR="002A304C">
        <w:t>.</w:t>
      </w:r>
    </w:p>
    <w:p w14:paraId="13734242" w14:textId="47262C6E" w:rsidR="007569F4" w:rsidRDefault="007569F4" w:rsidP="007569F4">
      <w:pPr>
        <w:pStyle w:val="ListParagraph"/>
        <w:numPr>
          <w:ilvl w:val="0"/>
          <w:numId w:val="3"/>
        </w:numPr>
      </w:pPr>
      <w:r>
        <w:t xml:space="preserve">Hispanic: </w:t>
      </w:r>
      <w:r w:rsidR="002A304C">
        <w:t xml:space="preserve">Deaths were </w:t>
      </w:r>
      <w:r>
        <w:t>assigned Hispanic</w:t>
      </w:r>
      <w:r w:rsidR="002A304C">
        <w:t xml:space="preserve"> if the deceased was classified as Hispanic</w:t>
      </w:r>
      <w:r w:rsidR="00703530">
        <w:t xml:space="preserve"> regardless of race</w:t>
      </w:r>
      <w:r w:rsidR="00C7225B">
        <w:t xml:space="preserve"> other than AIAN</w:t>
      </w:r>
      <w:r>
        <w:t xml:space="preserve"> (see note that follows regarding deaths of unknown Hispanic origin)</w:t>
      </w:r>
      <w:r w:rsidR="002A304C">
        <w:t>.</w:t>
      </w:r>
    </w:p>
    <w:p w14:paraId="3C7D40C6" w14:textId="3B30AC12" w:rsidR="008B30C0" w:rsidRDefault="008B30C0" w:rsidP="008B30C0">
      <w:pPr>
        <w:pStyle w:val="ListParagraph"/>
        <w:numPr>
          <w:ilvl w:val="0"/>
          <w:numId w:val="3"/>
        </w:numPr>
      </w:pPr>
      <w:r>
        <w:t>Non-Hispanic Asian</w:t>
      </w:r>
      <w:r w:rsidR="00F15DA3">
        <w:t>, Native Hawaiian, or</w:t>
      </w:r>
      <w:r>
        <w:t xml:space="preserve"> Pacific Islander (A</w:t>
      </w:r>
      <w:r w:rsidR="00F15DA3">
        <w:t>NH</w:t>
      </w:r>
      <w:r>
        <w:t xml:space="preserve">PI): </w:t>
      </w:r>
      <w:r w:rsidR="002A304C">
        <w:t xml:space="preserve">Deaths were </w:t>
      </w:r>
      <w:r>
        <w:t>assigned</w:t>
      </w:r>
      <w:r w:rsidR="002A304C">
        <w:t xml:space="preserve"> ANHPI</w:t>
      </w:r>
      <w:r>
        <w:t xml:space="preserve"> if </w:t>
      </w:r>
      <w:r w:rsidR="002A304C">
        <w:t xml:space="preserve">the deceased was </w:t>
      </w:r>
      <w:r>
        <w:t>classified as non-Hispanic and A</w:t>
      </w:r>
      <w:r w:rsidR="00F15DA3">
        <w:t>NH</w:t>
      </w:r>
      <w:r>
        <w:t>PI or A</w:t>
      </w:r>
      <w:r w:rsidR="00F15DA3">
        <w:t>NH</w:t>
      </w:r>
      <w:r>
        <w:t>PI as part of a multiracial classification</w:t>
      </w:r>
      <w:r w:rsidR="002A304C">
        <w:t>.</w:t>
      </w:r>
    </w:p>
    <w:p w14:paraId="241DC1F5" w14:textId="291782BF" w:rsidR="00B2500B" w:rsidRDefault="007569F4" w:rsidP="00B2500B">
      <w:pPr>
        <w:pStyle w:val="ListParagraph"/>
        <w:numPr>
          <w:ilvl w:val="0"/>
          <w:numId w:val="3"/>
        </w:numPr>
      </w:pPr>
      <w:r>
        <w:t xml:space="preserve">Non-Hispanic </w:t>
      </w:r>
      <w:r w:rsidR="00B2500B">
        <w:t>Black</w:t>
      </w:r>
      <w:r>
        <w:t xml:space="preserve">: </w:t>
      </w:r>
      <w:r w:rsidR="002A304C">
        <w:t xml:space="preserve">Deaths were </w:t>
      </w:r>
      <w:r w:rsidR="008B30C0">
        <w:t>assigned</w:t>
      </w:r>
      <w:r w:rsidR="002A304C">
        <w:t xml:space="preserve"> non-Hispanic Black</w:t>
      </w:r>
      <w:r w:rsidR="008B30C0">
        <w:t xml:space="preserve"> if </w:t>
      </w:r>
      <w:r w:rsidR="002A304C">
        <w:t xml:space="preserve">the deceased was </w:t>
      </w:r>
      <w:r w:rsidR="008B30C0">
        <w:t>classified as non-Hispanic and Black or Black as part of a multiracial classification</w:t>
      </w:r>
      <w:r w:rsidR="002A304C">
        <w:t>.</w:t>
      </w:r>
    </w:p>
    <w:p w14:paraId="49DF4C19" w14:textId="1C588515" w:rsidR="008B30C0" w:rsidRDefault="5F91EBFC" w:rsidP="008B30C0">
      <w:pPr>
        <w:pStyle w:val="ListParagraph"/>
        <w:numPr>
          <w:ilvl w:val="0"/>
          <w:numId w:val="3"/>
        </w:numPr>
      </w:pPr>
      <w:r>
        <w:t xml:space="preserve">Non-Hispanic White: </w:t>
      </w:r>
      <w:r w:rsidR="002A304C">
        <w:t xml:space="preserve">Deaths were </w:t>
      </w:r>
      <w:r>
        <w:t>assigned</w:t>
      </w:r>
      <w:r w:rsidR="002A304C">
        <w:t xml:space="preserve"> non-Hispanic White</w:t>
      </w:r>
      <w:r>
        <w:t xml:space="preserve"> if </w:t>
      </w:r>
      <w:r w:rsidR="002A304C">
        <w:t xml:space="preserve">the deceased was </w:t>
      </w:r>
      <w:r>
        <w:t>classified as non-Hispanic and White</w:t>
      </w:r>
      <w:r w:rsidR="002A304C">
        <w:t>.</w:t>
      </w:r>
    </w:p>
    <w:p w14:paraId="73C0E184" w14:textId="5E2DB389" w:rsidR="00B2179B" w:rsidRDefault="00B2179B" w:rsidP="007569F4">
      <w:r>
        <w:t>A few additional notes are necessary for instances of multi-race, unknown Hispanic origin, missing ages</w:t>
      </w:r>
      <w:r w:rsidR="00D77DC2">
        <w:t>, and race/ethnic misclassifications</w:t>
      </w:r>
      <w:r>
        <w:t>:</w:t>
      </w:r>
    </w:p>
    <w:p w14:paraId="08C78258" w14:textId="36B981F5" w:rsidR="00703530" w:rsidRDefault="00C179B8" w:rsidP="007569F4">
      <w:r>
        <w:t xml:space="preserve">Multi-race: Prior to 2012, deaths in the NCHS data were recorded with a single race. </w:t>
      </w:r>
      <w:r w:rsidR="00703530" w:rsidRPr="00703530">
        <w:t>Starting with the calendar year 2012, NCHS added a variable to capture multiple-race combinations</w:t>
      </w:r>
      <w:r w:rsidR="007C561F">
        <w:t xml:space="preserve">, and this change was implemented gradually by </w:t>
      </w:r>
      <w:r w:rsidR="00F6702C">
        <w:t xml:space="preserve">the </w:t>
      </w:r>
      <w:r w:rsidR="007C561F">
        <w:t>state</w:t>
      </w:r>
      <w:r w:rsidR="00F6702C">
        <w:t>s</w:t>
      </w:r>
      <w:r w:rsidR="007C561F">
        <w:t xml:space="preserve"> until it was fully implemented in 2018</w:t>
      </w:r>
      <w:r w:rsidR="00703530" w:rsidRPr="00703530">
        <w:t xml:space="preserve">. </w:t>
      </w:r>
      <w:r w:rsidR="00B2500B">
        <w:t>According to the dat</w:t>
      </w:r>
      <w:r w:rsidR="007C561F">
        <w:t>a</w:t>
      </w:r>
      <w:r w:rsidR="00B2500B">
        <w:t>, m</w:t>
      </w:r>
      <w:r w:rsidR="00703530" w:rsidRPr="00703530">
        <w:t xml:space="preserve">ulti-race deaths accounted for only 0.3% of deaths nationally in 2012 and only 0.5% in 2018. By comparison, the Census 4/1/2020 Estimates </w:t>
      </w:r>
      <w:r w:rsidR="00653BE6">
        <w:t>B</w:t>
      </w:r>
      <w:r w:rsidR="00653BE6" w:rsidRPr="00703530">
        <w:t xml:space="preserve">ase </w:t>
      </w:r>
      <w:r w:rsidR="00703530" w:rsidRPr="00703530">
        <w:t>identifie</w:t>
      </w:r>
      <w:r w:rsidR="00F6702C">
        <w:t>d</w:t>
      </w:r>
      <w:r w:rsidR="00703530" w:rsidRPr="00703530">
        <w:t xml:space="preserve"> approximately 2.3% of the population as multi-racial.</w:t>
      </w:r>
      <w:r w:rsidR="00B2500B">
        <w:t xml:space="preserve"> We classified multiracial deaths that include</w:t>
      </w:r>
      <w:r w:rsidR="00F6702C">
        <w:t>d</w:t>
      </w:r>
      <w:r w:rsidR="00B2500B">
        <w:t xml:space="preserve"> Black in combination with another race (most often White) as Black and</w:t>
      </w:r>
      <w:r w:rsidR="00653BE6">
        <w:t>,</w:t>
      </w:r>
      <w:r w:rsidR="00B2500B">
        <w:t xml:space="preserve"> similarly</w:t>
      </w:r>
      <w:r w:rsidR="00653BE6">
        <w:t>,</w:t>
      </w:r>
      <w:r w:rsidR="00B2500B">
        <w:t xml:space="preserve"> deaths that include</w:t>
      </w:r>
      <w:r w:rsidR="00F6702C">
        <w:t>d</w:t>
      </w:r>
      <w:r w:rsidR="00B2500B">
        <w:t xml:space="preserve"> </w:t>
      </w:r>
      <w:proofErr w:type="spellStart"/>
      <w:r w:rsidR="00B2500B">
        <w:t>A</w:t>
      </w:r>
      <w:r w:rsidR="00F15DA3">
        <w:t>NH</w:t>
      </w:r>
      <w:r w:rsidR="00B2500B">
        <w:t>PI</w:t>
      </w:r>
      <w:proofErr w:type="spellEnd"/>
      <w:r w:rsidR="00B2500B">
        <w:t xml:space="preserve"> in combination with another race (most often White) as A</w:t>
      </w:r>
      <w:r w:rsidR="00F15DA3">
        <w:t>NH</w:t>
      </w:r>
      <w:r w:rsidR="00B2500B">
        <w:t>PI.</w:t>
      </w:r>
    </w:p>
    <w:p w14:paraId="660291C5" w14:textId="7C82791F" w:rsidR="007569F4" w:rsidRDefault="24FB0114" w:rsidP="007569F4">
      <w:r>
        <w:t xml:space="preserve">Unknown Hispanic origin: For a small number of </w:t>
      </w:r>
      <w:r w:rsidR="00626D7D">
        <w:t xml:space="preserve">death </w:t>
      </w:r>
      <w:r>
        <w:t xml:space="preserve">records (0.24% of calendar year 2010 deaths), NCHS coded Hispanic origin as unknown. Reviewing the race data with Hispanic origin recorded indicated that few </w:t>
      </w:r>
      <w:r w:rsidR="00626D7D">
        <w:t xml:space="preserve">deaths recording </w:t>
      </w:r>
      <w:r>
        <w:t xml:space="preserve">Black (1%) or Asian, Native Hawaiian &amp; Pacific Islander (2%) </w:t>
      </w:r>
      <w:r w:rsidR="00626D7D">
        <w:t xml:space="preserve">also record </w:t>
      </w:r>
      <w:r>
        <w:t xml:space="preserve">Hispanic ethnicity when known, and small numbers of Black and ANHPI deaths included an unknown Hispanic origin. Therefore, we treated deaths for Black and ANHPI </w:t>
      </w:r>
      <w:r w:rsidR="0073016B">
        <w:t xml:space="preserve">people </w:t>
      </w:r>
      <w:r>
        <w:t xml:space="preserve">with unknown </w:t>
      </w:r>
      <w:r>
        <w:lastRenderedPageBreak/>
        <w:t xml:space="preserve">Hispanic origin as non-Hispanic. The number of deaths </w:t>
      </w:r>
      <w:r w:rsidR="0073016B">
        <w:t xml:space="preserve">for </w:t>
      </w:r>
      <w:r>
        <w:t>White</w:t>
      </w:r>
      <w:r w:rsidR="0073016B">
        <w:t xml:space="preserve"> people</w:t>
      </w:r>
      <w:r>
        <w:t xml:space="preserve"> with unknown Hispanic origin </w:t>
      </w:r>
      <w:r w:rsidR="0073016B">
        <w:t xml:space="preserve">was </w:t>
      </w:r>
      <w:r>
        <w:t xml:space="preserve">larger (n=4,497 in 2010 alone) and a higher proportion </w:t>
      </w:r>
      <w:r w:rsidR="0073016B">
        <w:t>of deaths among</w:t>
      </w:r>
      <w:r>
        <w:t xml:space="preserve"> White</w:t>
      </w:r>
      <w:r w:rsidR="0073016B">
        <w:t xml:space="preserve"> people</w:t>
      </w:r>
      <w:r>
        <w:t xml:space="preserve"> with known Hispanic origin reported Hispanic ethnicity (7%). Thus, we allocated </w:t>
      </w:r>
      <w:r w:rsidR="0073016B">
        <w:t xml:space="preserve">deaths among White people missing Hispanic origin </w:t>
      </w:r>
      <w:r>
        <w:t>to</w:t>
      </w:r>
      <w:r w:rsidR="0073016B">
        <w:t xml:space="preserve"> either</w:t>
      </w:r>
      <w:r>
        <w:t xml:space="preserve"> Hispanic </w:t>
      </w:r>
      <w:r w:rsidR="00763924">
        <w:t>or</w:t>
      </w:r>
      <w:r>
        <w:t xml:space="preserve"> non-Hispanic </w:t>
      </w:r>
      <w:r w:rsidR="0073016B">
        <w:t xml:space="preserve">groupings </w:t>
      </w:r>
      <w:r>
        <w:t xml:space="preserve">based on their respective county’s proportions of deaths by single year of age and sex where deaths </w:t>
      </w:r>
      <w:r w:rsidR="000C527A">
        <w:t xml:space="preserve">with </w:t>
      </w:r>
      <w:r>
        <w:t>Hispanic origin were known.</w:t>
      </w:r>
    </w:p>
    <w:p w14:paraId="0B9F104E" w14:textId="777574AE" w:rsidR="007569F4" w:rsidRDefault="007569F4" w:rsidP="007569F4">
      <w:r>
        <w:t xml:space="preserve">Missing ages: For a small number of records (0.005% of data year 2010 deaths), NCHS coded age as unknown. </w:t>
      </w:r>
      <w:r w:rsidR="000C527A">
        <w:t xml:space="preserve">We reallocated </w:t>
      </w:r>
      <w:r>
        <w:t>deaths to single years of age based on their respective county’s proportions of deaths by sex and race/Hispanic origin where age at death was known.</w:t>
      </w:r>
    </w:p>
    <w:p w14:paraId="6511499A" w14:textId="7E99651D" w:rsidR="00AD0CD6" w:rsidRDefault="24FB0114" w:rsidP="007569F4">
      <w:r>
        <w:t xml:space="preserve">Adjustments for race/ethnic misclassifications: Research shows that agreement between self-reported race in censuses and observed race on death certificates is excellent for Black and White race groups, but it is poor for other races, particularly for AIAN populations (Arias, Heron and Hakes, 2016). Over the last several decades, only 51%–55% of deaths to people who self-identified as AIAN were classified as AIAN in death records, with most instead being recorded as White (Arias, Heron, and Hakes 2016). The same study showed that, while not perfect, classification agreement was better for Asian groups and for Hispanic ethnicity (above 90% correspondence) and improved markedly between the 1990s and 2000s to 97% agreement in 1999–2011 among both Asians and Hispanics. Based on these findings, our team decided to adjust the race/ethnic classification of deaths using mortality rates from the 2019 life tables of the United States, which have been adjusted for misclassification. Details of this process, including exact adjustment values, are shown in Appendix 2. </w:t>
      </w:r>
    </w:p>
    <w:p w14:paraId="5677827C" w14:textId="091F998B" w:rsidR="00CF31C5" w:rsidRDefault="00E234DA" w:rsidP="00E234DA">
      <w:pPr>
        <w:pStyle w:val="Heading3"/>
      </w:pPr>
      <w:r>
        <w:t>Geographic Changes Across the 2010-2020 Decade</w:t>
      </w:r>
    </w:p>
    <w:p w14:paraId="27905E80" w14:textId="748DF693" w:rsidR="00E234DA" w:rsidRDefault="543757CF">
      <w:r>
        <w:t>Some county-level and county-equivalent geographic changes occurred during the 2010s that required the establishment of a crosswalk process to ensure the starting populations, births, deaths</w:t>
      </w:r>
      <w:r w:rsidR="003062DC">
        <w:t>,</w:t>
      </w:r>
      <w:r>
        <w:t xml:space="preserve"> and ending populations were consistent with the 2020 geographies. This process result</w:t>
      </w:r>
      <w:r w:rsidR="003062DC">
        <w:t>ed</w:t>
      </w:r>
      <w:r>
        <w:t xml:space="preserve"> in a total of 3,139 counties in the</w:t>
      </w:r>
      <w:r w:rsidR="00763924">
        <w:t xml:space="preserve"> 2010-2020</w:t>
      </w:r>
      <w:r>
        <w:t xml:space="preserve"> </w:t>
      </w:r>
      <w:r w:rsidR="00D663CA">
        <w:t xml:space="preserve">net migration estimates </w:t>
      </w:r>
      <w:r>
        <w:t>dataset.</w:t>
      </w:r>
    </w:p>
    <w:p w14:paraId="2663EC5D" w14:textId="1B4A1BBD" w:rsidR="00F9118F" w:rsidRDefault="00F9118F">
      <w:r>
        <w:t>In the continental United States, two changes occurred:</w:t>
      </w:r>
    </w:p>
    <w:p w14:paraId="14AC0A7E" w14:textId="302FA467" w:rsidR="00E24513" w:rsidRDefault="00E24513" w:rsidP="00E24513">
      <w:pPr>
        <w:pStyle w:val="ListParagraph"/>
        <w:numPr>
          <w:ilvl w:val="0"/>
          <w:numId w:val="4"/>
        </w:numPr>
      </w:pPr>
      <w:r w:rsidRPr="00E24513">
        <w:t xml:space="preserve">Shannon County, South Dakota </w:t>
      </w:r>
      <w:r>
        <w:t xml:space="preserve">(FIPS code </w:t>
      </w:r>
      <w:r w:rsidRPr="00E24513">
        <w:t>46113</w:t>
      </w:r>
      <w:r>
        <w:t xml:space="preserve">) was re-named </w:t>
      </w:r>
      <w:r w:rsidRPr="00E24513">
        <w:t xml:space="preserve">Oglala Lakota County </w:t>
      </w:r>
      <w:r w:rsidR="00725200">
        <w:t xml:space="preserve">and re-coded </w:t>
      </w:r>
      <w:r>
        <w:t xml:space="preserve">(FIPS code 46102) </w:t>
      </w:r>
      <w:r w:rsidRPr="00E24513">
        <w:t>in 2015.</w:t>
      </w:r>
      <w:r w:rsidR="00D663CA">
        <w:t xml:space="preserve"> We tabulated all data as the same geography</w:t>
      </w:r>
      <w:r w:rsidR="001B543E">
        <w:t>.</w:t>
      </w:r>
    </w:p>
    <w:p w14:paraId="1AE99A14" w14:textId="18AEF5B2" w:rsidR="00E24513" w:rsidRDefault="3952A0DE" w:rsidP="00E24513">
      <w:pPr>
        <w:pStyle w:val="ListParagraph"/>
        <w:numPr>
          <w:ilvl w:val="0"/>
          <w:numId w:val="4"/>
        </w:numPr>
      </w:pPr>
      <w:r>
        <w:t>Bedford City, Virginia (FIPS code 51515) consolidated with Bedford County (FIPS code 51019) in 2013. The consolidated area continued to use the county FIPS code. We tabulated all data as if this consolidated geography existed from 2010 forward.</w:t>
      </w:r>
    </w:p>
    <w:p w14:paraId="4C900C98" w14:textId="40C63119" w:rsidR="00F9118F" w:rsidRDefault="00F9118F">
      <w:r>
        <w:t>In Alaska, geographic changes related to the establishment of statistical Census Areas</w:t>
      </w:r>
      <w:r w:rsidR="00E24513">
        <w:t xml:space="preserve"> for the 2020 Census and re-alignments of certain 2010 geographies</w:t>
      </w:r>
      <w:r w:rsidR="00CE5D93">
        <w:t xml:space="preserve"> </w:t>
      </w:r>
      <w:r w:rsidR="00E24513">
        <w:t>required us to establish several “county groups” to maintain data consistency. In addition, there was one name/FIPS code change.</w:t>
      </w:r>
    </w:p>
    <w:p w14:paraId="089B561D" w14:textId="6F8DA22C" w:rsidR="00E24513" w:rsidRDefault="00725200" w:rsidP="00E24513">
      <w:pPr>
        <w:pStyle w:val="ListParagraph"/>
        <w:numPr>
          <w:ilvl w:val="0"/>
          <w:numId w:val="5"/>
        </w:numPr>
      </w:pPr>
      <w:r w:rsidRPr="00725200">
        <w:t>Valdez-Cordova Census Area (</w:t>
      </w:r>
      <w:r>
        <w:t xml:space="preserve">FIPS code </w:t>
      </w:r>
      <w:r w:rsidRPr="00725200">
        <w:t xml:space="preserve">02261) divided into Chugach Census Area </w:t>
      </w:r>
      <w:r>
        <w:t>(</w:t>
      </w:r>
      <w:r w:rsidRPr="00725200">
        <w:t>02063</w:t>
      </w:r>
      <w:r>
        <w:t xml:space="preserve">) </w:t>
      </w:r>
      <w:r w:rsidRPr="00725200">
        <w:t>and Copper River Census Area</w:t>
      </w:r>
      <w:r>
        <w:t xml:space="preserve"> (</w:t>
      </w:r>
      <w:r w:rsidRPr="00725200">
        <w:t>02066</w:t>
      </w:r>
      <w:r>
        <w:t xml:space="preserve">) </w:t>
      </w:r>
      <w:r w:rsidRPr="00725200">
        <w:t>in 2019</w:t>
      </w:r>
      <w:r>
        <w:t>.</w:t>
      </w:r>
    </w:p>
    <w:p w14:paraId="675B1816" w14:textId="77A1044A" w:rsidR="00725200" w:rsidRDefault="00725200" w:rsidP="00E24513">
      <w:pPr>
        <w:pStyle w:val="ListParagraph"/>
        <w:numPr>
          <w:ilvl w:val="0"/>
          <w:numId w:val="5"/>
        </w:numPr>
      </w:pPr>
      <w:r w:rsidRPr="00725200">
        <w:t xml:space="preserve">Wade Hampton Census Area </w:t>
      </w:r>
      <w:r>
        <w:t>(</w:t>
      </w:r>
      <w:r w:rsidRPr="00725200">
        <w:t>02270</w:t>
      </w:r>
      <w:r>
        <w:t xml:space="preserve">) was re-named </w:t>
      </w:r>
      <w:r w:rsidRPr="00725200">
        <w:t>Kusilvak Census Area</w:t>
      </w:r>
      <w:r>
        <w:t xml:space="preserve"> and re-coded (</w:t>
      </w:r>
      <w:r w:rsidRPr="00725200">
        <w:t>02158</w:t>
      </w:r>
      <w:r>
        <w:t>) in 2015.</w:t>
      </w:r>
      <w:r w:rsidR="00763924">
        <w:t xml:space="preserve"> We tabulated all data as the same geography.</w:t>
      </w:r>
    </w:p>
    <w:p w14:paraId="069DF56B" w14:textId="6085C8C0" w:rsidR="00725200" w:rsidRDefault="00725200" w:rsidP="00E24513">
      <w:pPr>
        <w:pStyle w:val="ListParagraph"/>
        <w:numPr>
          <w:ilvl w:val="0"/>
          <w:numId w:val="5"/>
        </w:numPr>
      </w:pPr>
      <w:r>
        <w:t xml:space="preserve">Boundary changes involving the Hoonah-Angoon (02105), Prince of Wales-Hyder (02198) and Petersburg (02195) Census Areas, </w:t>
      </w:r>
      <w:r w:rsidR="00052F7A">
        <w:t xml:space="preserve">plus </w:t>
      </w:r>
      <w:r>
        <w:t xml:space="preserve">renaming the latter Petersburg Borough (FIPS code maintained), required us to consolidate data into several </w:t>
      </w:r>
      <w:r w:rsidR="009B56AB">
        <w:t>county-equivalent groups.</w:t>
      </w:r>
      <w:r w:rsidR="009B56AB">
        <w:br/>
      </w:r>
      <w:r w:rsidR="009B56AB">
        <w:lastRenderedPageBreak/>
        <w:br/>
      </w:r>
      <w:r w:rsidR="000C7796">
        <w:t>To recognize county-combinations, we assigned</w:t>
      </w:r>
      <w:r w:rsidR="009B56AB">
        <w:t xml:space="preserve"> “faux” FIPS codes:</w:t>
      </w:r>
    </w:p>
    <w:p w14:paraId="5C9751BA" w14:textId="7EE2A386" w:rsidR="009B56AB" w:rsidRDefault="009B56AB" w:rsidP="009B56AB">
      <w:pPr>
        <w:pStyle w:val="ListParagraph"/>
        <w:numPr>
          <w:ilvl w:val="1"/>
          <w:numId w:val="5"/>
        </w:numPr>
      </w:pPr>
      <w:r>
        <w:t>02994: Petersburg-Prince of Wales-Hyder combined area;</w:t>
      </w:r>
    </w:p>
    <w:p w14:paraId="342742BC" w14:textId="2456BACB" w:rsidR="009B56AB" w:rsidRDefault="009B56AB" w:rsidP="009B56AB">
      <w:pPr>
        <w:pStyle w:val="ListParagraph"/>
        <w:numPr>
          <w:ilvl w:val="1"/>
          <w:numId w:val="5"/>
        </w:numPr>
      </w:pPr>
      <w:r>
        <w:t>02295: Skagway-Hoonah-Angoon combined area;</w:t>
      </w:r>
      <w:r w:rsidR="00052F7A">
        <w:t xml:space="preserve"> and</w:t>
      </w:r>
    </w:p>
    <w:p w14:paraId="48EFD394" w14:textId="5D50C6AC" w:rsidR="009B56AB" w:rsidRDefault="009B56AB" w:rsidP="009B56AB">
      <w:pPr>
        <w:pStyle w:val="ListParagraph"/>
        <w:numPr>
          <w:ilvl w:val="1"/>
          <w:numId w:val="5"/>
        </w:numPr>
      </w:pPr>
      <w:r>
        <w:t>02296: Chugach-Copper River combined area.</w:t>
      </w:r>
    </w:p>
    <w:p w14:paraId="69866D74" w14:textId="77777777" w:rsidR="002B0747" w:rsidRDefault="002B0747" w:rsidP="002B0747">
      <w:pPr>
        <w:pStyle w:val="Heading3"/>
      </w:pPr>
    </w:p>
    <w:p w14:paraId="463F0B4A" w14:textId="7599D29F" w:rsidR="002B0747" w:rsidRDefault="000C7796" w:rsidP="002B0747">
      <w:pPr>
        <w:pStyle w:val="Heading3"/>
      </w:pPr>
      <w:r>
        <w:t>Version History</w:t>
      </w:r>
    </w:p>
    <w:p w14:paraId="2B392B73" w14:textId="333CD254" w:rsidR="001350BC" w:rsidRPr="00F15DA3" w:rsidRDefault="24FB0114">
      <w:r>
        <w:t xml:space="preserve">We initially released a Beta version of the 2010-2020 net migration estimates on the </w:t>
      </w:r>
      <w:hyperlink r:id="rId15">
        <w:r w:rsidRPr="24FB0114">
          <w:rPr>
            <w:rStyle w:val="Hyperlink"/>
          </w:rPr>
          <w:t>netmigration.wisc.edu</w:t>
        </w:r>
      </w:hyperlink>
      <w:r>
        <w:t xml:space="preserve"> website in April 2023. This initial version used the 2021 Estimates Base as </w:t>
      </w:r>
      <w:r w:rsidR="002B39E8">
        <w:t>the</w:t>
      </w:r>
      <w:r>
        <w:t xml:space="preserve"> </w:t>
      </w:r>
      <w:r w:rsidR="002B39E8">
        <w:t>decadal ending</w:t>
      </w:r>
      <w:r>
        <w:t xml:space="preserve"> population. It did not include estimates for the population age 75 and over because of recognized inconsistencies in the data and our </w:t>
      </w:r>
      <w:r w:rsidR="000352FC">
        <w:t>low</w:t>
      </w:r>
      <w:r>
        <w:t xml:space="preserve"> confidence in reliability of the estimates. Following the Census Bureau’s release of the vintage 2022 population estimates (with a </w:t>
      </w:r>
      <w:r w:rsidR="00F6702C">
        <w:t>modified</w:t>
      </w:r>
      <w:r>
        <w:t xml:space="preserve"> 4/1/2020 Estimates Base) in July 2023, we revised the full set of estimates into the version that is described in this documentation and which was posted to the </w:t>
      </w:r>
      <w:hyperlink r:id="rId16">
        <w:r w:rsidRPr="24FB0114">
          <w:rPr>
            <w:rStyle w:val="Hyperlink"/>
          </w:rPr>
          <w:t>netmigration.wisc.edu</w:t>
        </w:r>
      </w:hyperlink>
      <w:r>
        <w:t xml:space="preserve"> website in </w:t>
      </w:r>
      <w:r w:rsidR="00F6702C">
        <w:t xml:space="preserve">June </w:t>
      </w:r>
      <w:r>
        <w:t>2024. This modifica</w:t>
      </w:r>
      <w:r w:rsidR="002B39E8">
        <w:softHyphen/>
      </w:r>
      <w:r>
        <w:t>tion led to changes in the estimates for all ages, and particularly in the college-aged cohorts 15-24 and for age</w:t>
      </w:r>
      <w:r w:rsidR="00F6702C">
        <w:t>s</w:t>
      </w:r>
      <w:r>
        <w:t xml:space="preserve"> </w:t>
      </w:r>
      <w:r w:rsidR="00F6702C">
        <w:t>75</w:t>
      </w:r>
      <w:r>
        <w:t xml:space="preserve"> and over. </w:t>
      </w:r>
    </w:p>
    <w:p w14:paraId="6CC51AEF" w14:textId="07CDFFAC" w:rsidR="24FB0114" w:rsidRDefault="24FB0114">
      <w:r>
        <w:br w:type="page"/>
      </w:r>
    </w:p>
    <w:p w14:paraId="03560079" w14:textId="6613F532" w:rsidR="007D2060" w:rsidRDefault="24FB0114" w:rsidP="007D2060">
      <w:pPr>
        <w:pStyle w:val="Heading3"/>
      </w:pPr>
      <w:r>
        <w:lastRenderedPageBreak/>
        <w:t>Bibliography</w:t>
      </w:r>
    </w:p>
    <w:p w14:paraId="3E4B5455" w14:textId="77777777" w:rsidR="00A20E99" w:rsidRDefault="00A20E99" w:rsidP="00A20E99">
      <w:pPr>
        <w:rPr>
          <w:rFonts w:cstheme="minorHAnsi"/>
        </w:rPr>
      </w:pPr>
    </w:p>
    <w:p w14:paraId="754CEAE4" w14:textId="7267F33D" w:rsidR="009E1854" w:rsidRDefault="009E1854" w:rsidP="001350BC">
      <w:pPr>
        <w:ind w:left="720" w:hanging="720"/>
        <w:rPr>
          <w:rFonts w:cstheme="minorHAnsi"/>
        </w:rPr>
      </w:pPr>
      <w:r w:rsidRPr="009E1854">
        <w:rPr>
          <w:rFonts w:cstheme="minorHAnsi"/>
        </w:rPr>
        <w:t>Arias E</w:t>
      </w:r>
      <w:r w:rsidR="002B39E8">
        <w:rPr>
          <w:rFonts w:cstheme="minorHAnsi"/>
        </w:rPr>
        <w:t>.</w:t>
      </w:r>
      <w:r w:rsidRPr="009E1854">
        <w:rPr>
          <w:rFonts w:cstheme="minorHAnsi"/>
        </w:rPr>
        <w:t xml:space="preserve">, </w:t>
      </w:r>
      <w:r w:rsidR="002B39E8">
        <w:rPr>
          <w:rFonts w:cstheme="minorHAnsi"/>
        </w:rPr>
        <w:t xml:space="preserve">M. </w:t>
      </w:r>
      <w:r w:rsidRPr="009E1854">
        <w:rPr>
          <w:rFonts w:cstheme="minorHAnsi"/>
        </w:rPr>
        <w:t>Heron</w:t>
      </w:r>
      <w:r w:rsidR="00A26126">
        <w:rPr>
          <w:rFonts w:cstheme="minorHAnsi"/>
        </w:rPr>
        <w:t>,</w:t>
      </w:r>
      <w:r w:rsidRPr="009E1854">
        <w:rPr>
          <w:rFonts w:cstheme="minorHAnsi"/>
        </w:rPr>
        <w:t xml:space="preserve"> </w:t>
      </w:r>
      <w:r w:rsidR="002B39E8">
        <w:rPr>
          <w:rFonts w:cstheme="minorHAnsi"/>
        </w:rPr>
        <w:t>and J.</w:t>
      </w:r>
      <w:r w:rsidR="00343CFD">
        <w:rPr>
          <w:rFonts w:cstheme="minorHAnsi"/>
        </w:rPr>
        <w:t xml:space="preserve"> </w:t>
      </w:r>
      <w:r w:rsidR="002B39E8">
        <w:rPr>
          <w:rFonts w:cstheme="minorHAnsi"/>
        </w:rPr>
        <w:t xml:space="preserve">K. </w:t>
      </w:r>
      <w:r w:rsidRPr="009E1854">
        <w:rPr>
          <w:rFonts w:cstheme="minorHAnsi"/>
        </w:rPr>
        <w:t xml:space="preserve">Hakes. </w:t>
      </w:r>
      <w:r>
        <w:rPr>
          <w:rFonts w:cstheme="minorHAnsi"/>
        </w:rPr>
        <w:t xml:space="preserve">2016. </w:t>
      </w:r>
      <w:r w:rsidRPr="009E1854">
        <w:rPr>
          <w:rFonts w:cstheme="minorHAnsi"/>
        </w:rPr>
        <w:t>The validity of race and Hispanic-origin reporting on death certificates in the United States: An update. National Center for Health Statistics. Vital Health Stat 2(172).</w:t>
      </w:r>
    </w:p>
    <w:p w14:paraId="2BF5E749" w14:textId="3F15EABA" w:rsidR="00C04CD6" w:rsidRDefault="00C04CD6" w:rsidP="001350BC">
      <w:pPr>
        <w:ind w:left="720" w:hanging="720"/>
        <w:rPr>
          <w:rFonts w:cstheme="minorHAnsi"/>
        </w:rPr>
      </w:pPr>
      <w:r>
        <w:rPr>
          <w:rFonts w:cstheme="minorHAnsi"/>
        </w:rPr>
        <w:t xml:space="preserve">Arias, E. and J. Xu. 2022. United States Life Tables, 2019. National Vital Statistics Reports 70(19). </w:t>
      </w:r>
    </w:p>
    <w:p w14:paraId="3104434E" w14:textId="0AD1C16B" w:rsidR="00A20E99" w:rsidRPr="00A20E99" w:rsidRDefault="00A20E99" w:rsidP="001350BC">
      <w:pPr>
        <w:ind w:left="720" w:hanging="720"/>
        <w:rPr>
          <w:rFonts w:cstheme="minorHAnsi"/>
        </w:rPr>
      </w:pPr>
      <w:r w:rsidRPr="00A20E99">
        <w:rPr>
          <w:rFonts w:cstheme="minorHAnsi"/>
        </w:rPr>
        <w:t>Bowles, G. K. and J. D. Tarver. 1965. Net Migration of the Population, 1950-60, by Age, Sex and Color. Washington, D.C.: U.S. Department of Agriculture, Economic Research Service.</w:t>
      </w:r>
    </w:p>
    <w:p w14:paraId="368B6A0C" w14:textId="0AA8FC63" w:rsidR="00A20E99" w:rsidRPr="00A20E99" w:rsidRDefault="00A20E99" w:rsidP="001350BC">
      <w:pPr>
        <w:ind w:left="720" w:hanging="720"/>
        <w:rPr>
          <w:rFonts w:cstheme="minorHAnsi"/>
        </w:rPr>
      </w:pPr>
      <w:r w:rsidRPr="00A20E99">
        <w:rPr>
          <w:rFonts w:cstheme="minorHAnsi"/>
        </w:rPr>
        <w:t>Bowles, G. K., C. L. Beale, and E. S. Lee. 1975. Net Migration of the Population,1960-70, by Age, Sex and Color. Washington: U.S. Department of Agriculture, Economic Research Service and Athens: University of Georgia.</w:t>
      </w:r>
    </w:p>
    <w:p w14:paraId="5C55B273" w14:textId="46DE3959" w:rsidR="00A20E99" w:rsidRDefault="00A20E99" w:rsidP="001350BC">
      <w:pPr>
        <w:ind w:left="720" w:hanging="720"/>
        <w:rPr>
          <w:rFonts w:cstheme="minorHAnsi"/>
        </w:rPr>
      </w:pPr>
      <w:r w:rsidRPr="00A20E99">
        <w:rPr>
          <w:rFonts w:cstheme="minorHAnsi"/>
        </w:rPr>
        <w:t>Fuguitt, G. V., C. L. Beale</w:t>
      </w:r>
      <w:r w:rsidR="00A26126">
        <w:rPr>
          <w:rFonts w:cstheme="minorHAnsi"/>
        </w:rPr>
        <w:t>,</w:t>
      </w:r>
      <w:r w:rsidRPr="00A20E99">
        <w:rPr>
          <w:rFonts w:cstheme="minorHAnsi"/>
        </w:rPr>
        <w:t xml:space="preserve"> and P. R. Voss. 2010. County-Specific Net Migration Estimates, 1980-1990. ICPSR26761-v1. Ann Arbor, MI: Inter-university Consortium for Political and Social Research, 2010-04-02. </w:t>
      </w:r>
      <w:r w:rsidR="006A61E1">
        <w:rPr>
          <w:rFonts w:cstheme="minorHAnsi"/>
        </w:rPr>
        <w:t>https://</w:t>
      </w:r>
      <w:r w:rsidRPr="00A20E99">
        <w:rPr>
          <w:rFonts w:cstheme="minorHAnsi"/>
        </w:rPr>
        <w:t>doi:10.3886/ICPSR26761</w:t>
      </w:r>
    </w:p>
    <w:p w14:paraId="11CE96D0" w14:textId="63CE1571" w:rsidR="00D8029F" w:rsidRPr="00A20E99" w:rsidRDefault="00D8029F" w:rsidP="001350BC">
      <w:pPr>
        <w:ind w:left="720" w:hanging="720"/>
        <w:rPr>
          <w:rFonts w:cstheme="minorHAnsi"/>
        </w:rPr>
      </w:pPr>
      <w:r w:rsidRPr="00A20E99">
        <w:rPr>
          <w:rFonts w:cstheme="minorHAnsi"/>
        </w:rPr>
        <w:t>Hartley, C</w:t>
      </w:r>
      <w:r w:rsidR="00343CFD">
        <w:rPr>
          <w:rFonts w:cstheme="minorHAnsi"/>
        </w:rPr>
        <w:t>.</w:t>
      </w:r>
      <w:r w:rsidRPr="00A20E99">
        <w:rPr>
          <w:rFonts w:cstheme="minorHAnsi"/>
        </w:rPr>
        <w:t xml:space="preserve"> and L</w:t>
      </w:r>
      <w:r w:rsidR="00343CFD">
        <w:rPr>
          <w:rFonts w:cstheme="minorHAnsi"/>
        </w:rPr>
        <w:t>.</w:t>
      </w:r>
      <w:r w:rsidRPr="00A20E99">
        <w:rPr>
          <w:rFonts w:cstheme="minorHAnsi"/>
        </w:rPr>
        <w:t xml:space="preserve"> Rogers. 2023a. Briefing on the Base Evaluation and Research Team. Census Scientific Advisory Committee Meeting, September 22, 2023.</w:t>
      </w:r>
    </w:p>
    <w:p w14:paraId="687FC97D" w14:textId="45A8A91C" w:rsidR="00D8029F" w:rsidRPr="00A20E99" w:rsidRDefault="6AB74D4C" w:rsidP="001350BC">
      <w:pPr>
        <w:ind w:left="720" w:hanging="720"/>
        <w:rPr>
          <w:rFonts w:cstheme="minorHAnsi"/>
        </w:rPr>
      </w:pPr>
      <w:r w:rsidRPr="6AB74D4C">
        <w:t>Hartley, C</w:t>
      </w:r>
      <w:r w:rsidR="00343CFD">
        <w:t>.</w:t>
      </w:r>
      <w:r w:rsidRPr="6AB74D4C">
        <w:t xml:space="preserve"> and L</w:t>
      </w:r>
      <w:r w:rsidR="00343CFD">
        <w:t>.</w:t>
      </w:r>
      <w:r w:rsidRPr="6AB74D4C">
        <w:t xml:space="preserve"> Rogers. 2023b. Post-Pandemic Challenges and Opportunities for Population Estimates. US Census Bureau. America Counts: Stories. https://www.census.gov/library/stories/2023/06/blended-base-methodology.html</w:t>
      </w:r>
    </w:p>
    <w:p w14:paraId="5AB158AB" w14:textId="7B02FE23" w:rsidR="00EA26E2" w:rsidRPr="00A20E99" w:rsidRDefault="00EA26E2" w:rsidP="001350BC">
      <w:pPr>
        <w:ind w:left="720" w:hanging="720"/>
        <w:rPr>
          <w:rFonts w:cstheme="minorHAnsi"/>
        </w:rPr>
      </w:pPr>
      <w:r w:rsidRPr="00A20E99">
        <w:rPr>
          <w:rFonts w:cstheme="minorHAnsi"/>
        </w:rPr>
        <w:t>Jensen, E</w:t>
      </w:r>
      <w:r w:rsidR="00343CFD">
        <w:rPr>
          <w:rFonts w:cstheme="minorHAnsi"/>
        </w:rPr>
        <w:t>.</w:t>
      </w:r>
      <w:r w:rsidRPr="00A20E99">
        <w:rPr>
          <w:rFonts w:cstheme="minorHAnsi"/>
        </w:rPr>
        <w:t xml:space="preserve"> and T</w:t>
      </w:r>
      <w:r w:rsidR="00343CFD">
        <w:rPr>
          <w:rFonts w:cstheme="minorHAnsi"/>
        </w:rPr>
        <w:t>.</w:t>
      </w:r>
      <w:r w:rsidRPr="00A20E99">
        <w:rPr>
          <w:rFonts w:cstheme="minorHAnsi"/>
        </w:rPr>
        <w:t xml:space="preserve"> Kennel. 2022. Who was undercounted, overcounted in the 2020 Census? US Census Bureau. America Counts: Stories. https://www.census.gov/library/stories/2022/03/who-was-undercounted-overcounted-in-2020-census.html</w:t>
      </w:r>
    </w:p>
    <w:p w14:paraId="466AF4AB" w14:textId="18EB5184" w:rsidR="007D2060" w:rsidRPr="00A20E99" w:rsidRDefault="007D2060" w:rsidP="001350BC">
      <w:pPr>
        <w:ind w:left="720" w:hanging="720"/>
        <w:rPr>
          <w:rFonts w:cstheme="minorHAnsi"/>
        </w:rPr>
      </w:pPr>
      <w:r w:rsidRPr="00A20E99">
        <w:rPr>
          <w:rFonts w:cstheme="minorHAnsi"/>
        </w:rPr>
        <w:t>Liebler, C</w:t>
      </w:r>
      <w:r w:rsidR="00343CFD">
        <w:rPr>
          <w:rFonts w:cstheme="minorHAnsi"/>
        </w:rPr>
        <w:t>.</w:t>
      </w:r>
      <w:r w:rsidRPr="00A20E99">
        <w:rPr>
          <w:rFonts w:cstheme="minorHAnsi"/>
        </w:rPr>
        <w:t>, R</w:t>
      </w:r>
      <w:r w:rsidR="00343CFD">
        <w:rPr>
          <w:rFonts w:cstheme="minorHAnsi"/>
        </w:rPr>
        <w:t>.</w:t>
      </w:r>
      <w:r w:rsidRPr="00A20E99">
        <w:rPr>
          <w:rFonts w:cstheme="minorHAnsi"/>
        </w:rPr>
        <w:t xml:space="preserve"> Bhaskar</w:t>
      </w:r>
      <w:r w:rsidR="00A26126">
        <w:rPr>
          <w:rFonts w:cstheme="minorHAnsi"/>
        </w:rPr>
        <w:t>,</w:t>
      </w:r>
      <w:r w:rsidRPr="00A20E99">
        <w:rPr>
          <w:rFonts w:cstheme="minorHAnsi"/>
        </w:rPr>
        <w:t xml:space="preserve"> and S</w:t>
      </w:r>
      <w:r w:rsidR="00343CFD">
        <w:rPr>
          <w:rFonts w:cstheme="minorHAnsi"/>
        </w:rPr>
        <w:t>.</w:t>
      </w:r>
      <w:r w:rsidRPr="00A20E99">
        <w:rPr>
          <w:rFonts w:cstheme="minorHAnsi"/>
        </w:rPr>
        <w:t xml:space="preserve"> Porter</w:t>
      </w:r>
      <w:r w:rsidR="00343CFD">
        <w:rPr>
          <w:rFonts w:cstheme="minorHAnsi"/>
        </w:rPr>
        <w:t>.</w:t>
      </w:r>
      <w:r w:rsidRPr="00A20E99">
        <w:rPr>
          <w:rFonts w:cstheme="minorHAnsi"/>
        </w:rPr>
        <w:t xml:space="preserve"> 2016. “Joining, Leaving, and Staying in the American Indian/Alaska Native Race Category Between 2000 and 2010,” </w:t>
      </w:r>
      <w:r w:rsidRPr="00A20E99">
        <w:rPr>
          <w:rFonts w:cstheme="minorHAnsi"/>
          <w:i/>
          <w:iCs/>
        </w:rPr>
        <w:t xml:space="preserve">Demography </w:t>
      </w:r>
      <w:r w:rsidRPr="00A20E99">
        <w:rPr>
          <w:rFonts w:cstheme="minorHAnsi"/>
        </w:rPr>
        <w:t>53:507-540.</w:t>
      </w:r>
    </w:p>
    <w:p w14:paraId="103914BF" w14:textId="3D0F39DE" w:rsidR="007D2060" w:rsidRPr="00A20E99" w:rsidRDefault="007D2060" w:rsidP="001350BC">
      <w:pPr>
        <w:ind w:left="720" w:hanging="720"/>
        <w:rPr>
          <w:rFonts w:cstheme="minorHAnsi"/>
        </w:rPr>
      </w:pPr>
      <w:r w:rsidRPr="00A20E99">
        <w:rPr>
          <w:rFonts w:cstheme="minorHAnsi"/>
        </w:rPr>
        <w:t>Liebler, C</w:t>
      </w:r>
      <w:r w:rsidR="00343CFD">
        <w:rPr>
          <w:rFonts w:cstheme="minorHAnsi"/>
        </w:rPr>
        <w:t xml:space="preserve">. and </w:t>
      </w:r>
      <w:r w:rsidRPr="00A20E99">
        <w:rPr>
          <w:rFonts w:cstheme="minorHAnsi"/>
        </w:rPr>
        <w:t>S</w:t>
      </w:r>
      <w:r w:rsidR="00343CFD">
        <w:rPr>
          <w:rFonts w:cstheme="minorHAnsi"/>
        </w:rPr>
        <w:t>.</w:t>
      </w:r>
      <w:r w:rsidRPr="00A20E99">
        <w:rPr>
          <w:rFonts w:cstheme="minorHAnsi"/>
        </w:rPr>
        <w:t xml:space="preserve"> Porter</w:t>
      </w:r>
      <w:r w:rsidR="00343CFD">
        <w:rPr>
          <w:rFonts w:cstheme="minorHAnsi"/>
        </w:rPr>
        <w:t>.</w:t>
      </w:r>
      <w:r w:rsidRPr="00A20E99">
        <w:rPr>
          <w:rFonts w:cstheme="minorHAnsi"/>
        </w:rPr>
        <w:t xml:space="preserve"> 2017. “America’s Churning Races: Race and Ethnicity Response Changes Between Census 2000 and the 2010 Census,” </w:t>
      </w:r>
      <w:r w:rsidRPr="00A20E99">
        <w:rPr>
          <w:rFonts w:cstheme="minorHAnsi"/>
          <w:i/>
          <w:iCs/>
        </w:rPr>
        <w:t>Demography</w:t>
      </w:r>
      <w:r w:rsidRPr="00A20E99">
        <w:rPr>
          <w:rFonts w:cstheme="minorHAnsi"/>
        </w:rPr>
        <w:t xml:space="preserve"> 54:259-284.</w:t>
      </w:r>
    </w:p>
    <w:p w14:paraId="795A1B80" w14:textId="0565FA79" w:rsidR="00EA26E2" w:rsidRPr="00A20E99" w:rsidRDefault="00EA26E2" w:rsidP="001350BC">
      <w:pPr>
        <w:ind w:left="720" w:hanging="720"/>
        <w:rPr>
          <w:rFonts w:cstheme="minorHAnsi"/>
        </w:rPr>
      </w:pPr>
      <w:r w:rsidRPr="00A20E99">
        <w:rPr>
          <w:rFonts w:cstheme="minorHAnsi"/>
        </w:rPr>
        <w:t>Long, G. 2022. Consistency of data products and formal privacy methods for the 2020 Census. JSR-21-02. JASON. The MITRE Corporation. McLean, Virginia.</w:t>
      </w:r>
    </w:p>
    <w:p w14:paraId="78DDA7F1" w14:textId="45360BB4" w:rsidR="007D2060" w:rsidRPr="00A20E99" w:rsidRDefault="007D2060" w:rsidP="001350BC">
      <w:pPr>
        <w:ind w:left="720" w:hanging="720"/>
        <w:rPr>
          <w:rFonts w:cstheme="minorHAnsi"/>
        </w:rPr>
      </w:pPr>
      <w:r w:rsidRPr="00A20E99">
        <w:rPr>
          <w:rFonts w:cstheme="minorHAnsi"/>
        </w:rPr>
        <w:t>Mule, T</w:t>
      </w:r>
      <w:r w:rsidR="00FE4128">
        <w:rPr>
          <w:rFonts w:cstheme="minorHAnsi"/>
        </w:rPr>
        <w:t>.</w:t>
      </w:r>
      <w:r w:rsidRPr="00A20E99">
        <w:rPr>
          <w:rFonts w:cstheme="minorHAnsi"/>
        </w:rPr>
        <w:t xml:space="preserve"> 2012. Census Coverage Measurement Estimation Report: Summary of Estimates of Coverage for Persons in the United States. Washington, DC: US Census Bureau, Decennial Statistical Studies Division. </w:t>
      </w:r>
      <w:hyperlink r:id="rId17" w:history="1">
        <w:r w:rsidRPr="00A20E99">
          <w:rPr>
            <w:rStyle w:val="Hyperlink"/>
            <w:rFonts w:cstheme="minorHAnsi"/>
            <w:color w:val="auto"/>
          </w:rPr>
          <w:t>https://www.census.gov/coverage_measurement/pdfs/g01.pdf</w:t>
        </w:r>
      </w:hyperlink>
      <w:r w:rsidRPr="00A20E99">
        <w:rPr>
          <w:rFonts w:cstheme="minorHAnsi"/>
        </w:rPr>
        <w:t>, last accessed 14 July 2020.</w:t>
      </w:r>
    </w:p>
    <w:p w14:paraId="0E86FEC4" w14:textId="456BDC92" w:rsidR="00FE4128" w:rsidRDefault="00FE4128" w:rsidP="00FE4128">
      <w:pPr>
        <w:ind w:left="720" w:hanging="720"/>
        <w:rPr>
          <w:rFonts w:cstheme="minorHAnsi"/>
        </w:rPr>
      </w:pPr>
      <w:r>
        <w:rPr>
          <w:rFonts w:cstheme="minorHAnsi"/>
        </w:rPr>
        <w:t xml:space="preserve">National Center for Health Statistics. 2022. </w:t>
      </w:r>
      <w:r w:rsidRPr="00FE4128">
        <w:rPr>
          <w:rFonts w:cstheme="minorHAnsi"/>
        </w:rPr>
        <w:t>User Guide</w:t>
      </w:r>
      <w:r>
        <w:rPr>
          <w:rFonts w:cstheme="minorHAnsi"/>
        </w:rPr>
        <w:t xml:space="preserve"> </w:t>
      </w:r>
      <w:r w:rsidRPr="00FE4128">
        <w:rPr>
          <w:rFonts w:cstheme="minorHAnsi"/>
        </w:rPr>
        <w:t>to the</w:t>
      </w:r>
      <w:r>
        <w:rPr>
          <w:rFonts w:cstheme="minorHAnsi"/>
        </w:rPr>
        <w:t xml:space="preserve"> </w:t>
      </w:r>
      <w:r w:rsidRPr="00FE4128">
        <w:rPr>
          <w:rFonts w:cstheme="minorHAnsi"/>
        </w:rPr>
        <w:t>2021 Natality</w:t>
      </w:r>
      <w:r>
        <w:rPr>
          <w:rFonts w:cstheme="minorHAnsi"/>
        </w:rPr>
        <w:t xml:space="preserve"> </w:t>
      </w:r>
      <w:r w:rsidRPr="00FE4128">
        <w:rPr>
          <w:rFonts w:cstheme="minorHAnsi"/>
        </w:rPr>
        <w:t>Public Use File</w:t>
      </w:r>
      <w:r>
        <w:rPr>
          <w:rFonts w:cstheme="minorHAnsi"/>
        </w:rPr>
        <w:t xml:space="preserve">. Centers for Disease Control and Prevention. </w:t>
      </w:r>
    </w:p>
    <w:p w14:paraId="4D32479E" w14:textId="3833771D" w:rsidR="007D2060" w:rsidRPr="00A20E99" w:rsidRDefault="23DBA195" w:rsidP="3F07B7BD">
      <w:pPr>
        <w:ind w:left="720" w:hanging="720"/>
      </w:pPr>
      <w:r w:rsidRPr="23DBA195">
        <w:t>National Center for Health Statistics. All County Natality File (2010-2020), as compiled from data provided by the 57 vital statistics jurisdictions through the Vital Statistics Cooperative Program.</w:t>
      </w:r>
    </w:p>
    <w:p w14:paraId="41116FCB" w14:textId="07E0451B" w:rsidR="007D2060" w:rsidRPr="00A20E99" w:rsidRDefault="1D9B930A" w:rsidP="3F07B7BD">
      <w:pPr>
        <w:ind w:left="720" w:hanging="720"/>
      </w:pPr>
      <w:r w:rsidRPr="1D9B930A">
        <w:lastRenderedPageBreak/>
        <w:t>National Center for Health Statistics. All County Mortality File (2010-2020), as compiled from data provided by the 57 vital statistics jurisdictions through the Vital Statistics Cooperative Program.</w:t>
      </w:r>
    </w:p>
    <w:p w14:paraId="6A80D078" w14:textId="16A2ED3A" w:rsidR="007D2060" w:rsidRPr="00A20E99" w:rsidRDefault="3F07B7BD" w:rsidP="3F07B7BD">
      <w:pPr>
        <w:ind w:left="720" w:hanging="720"/>
      </w:pPr>
      <w:r w:rsidRPr="3F07B7BD">
        <w:t>O’Hare, W</w:t>
      </w:r>
      <w:r w:rsidR="00343CFD">
        <w:t>.</w:t>
      </w:r>
      <w:r w:rsidRPr="3F07B7BD">
        <w:t>, J. G</w:t>
      </w:r>
      <w:r w:rsidR="00343CFD">
        <w:t>.</w:t>
      </w:r>
      <w:r w:rsidRPr="3F07B7BD">
        <w:t xml:space="preserve"> Robinson, K</w:t>
      </w:r>
      <w:r w:rsidR="00343CFD">
        <w:t>.</w:t>
      </w:r>
      <w:r w:rsidRPr="3F07B7BD">
        <w:t xml:space="preserve"> West</w:t>
      </w:r>
      <w:r w:rsidR="00A26126">
        <w:t>,</w:t>
      </w:r>
      <w:r w:rsidRPr="3F07B7BD">
        <w:t xml:space="preserve"> and T</w:t>
      </w:r>
      <w:r w:rsidR="00343CFD">
        <w:t>.</w:t>
      </w:r>
      <w:r w:rsidRPr="3F07B7BD">
        <w:t xml:space="preserve"> Mule</w:t>
      </w:r>
      <w:r w:rsidR="00343CFD">
        <w:t>.</w:t>
      </w:r>
      <w:r w:rsidRPr="3F07B7BD">
        <w:t xml:space="preserve"> 2016. “Comparing the U.S. Decennial Census Coverage Estimates for Children from Demographic Analysis and Coverage Measurement Surveys,” </w:t>
      </w:r>
      <w:r w:rsidRPr="3F07B7BD">
        <w:rPr>
          <w:i/>
          <w:iCs/>
        </w:rPr>
        <w:t xml:space="preserve">Population Research and Policy Review, </w:t>
      </w:r>
      <w:r w:rsidRPr="3F07B7BD">
        <w:t>35:685–704.</w:t>
      </w:r>
    </w:p>
    <w:p w14:paraId="17E49F33" w14:textId="402C0F4E" w:rsidR="00370D3E" w:rsidRDefault="14F195AD" w:rsidP="001350BC">
      <w:pPr>
        <w:ind w:left="720" w:hanging="720"/>
        <w:rPr>
          <w:rFonts w:eastAsia="Arial" w:cstheme="minorHAnsi"/>
        </w:rPr>
      </w:pPr>
      <w:r w:rsidRPr="14F195AD">
        <w:rPr>
          <w:rFonts w:eastAsia="Arial"/>
        </w:rPr>
        <w:t>Plane, D.A.</w:t>
      </w:r>
      <w:r w:rsidR="00343CFD">
        <w:rPr>
          <w:rFonts w:eastAsia="Arial"/>
        </w:rPr>
        <w:t xml:space="preserve"> and P.A.</w:t>
      </w:r>
      <w:r w:rsidRPr="14F195AD">
        <w:rPr>
          <w:rFonts w:eastAsia="Arial"/>
        </w:rPr>
        <w:t xml:space="preserve"> Rogerson. 1991. The Ten Commandments of Migration Research. In: Boyce, D.E., Nijkamp, P., Shefer, D. (eds) Regional Science. Springer, Berlin, Heidelberg. https://doi.org/10.1007/978-3-642-76311-3_2</w:t>
      </w:r>
    </w:p>
    <w:p w14:paraId="01041CF6" w14:textId="073F228E" w:rsidR="14F195AD" w:rsidRDefault="14F195AD" w:rsidP="14F195AD">
      <w:pPr>
        <w:ind w:left="720" w:hanging="720"/>
        <w:rPr>
          <w:rFonts w:eastAsia="Arial"/>
        </w:rPr>
      </w:pPr>
      <w:r w:rsidRPr="14F195AD">
        <w:rPr>
          <w:rFonts w:eastAsia="Arial"/>
        </w:rPr>
        <w:t>Robinson, J.G. 2001. ESCAP II: Demographic Analysis Results. Executive Steering Committee for A.C.E. Policy II, Report No. 1, October 13, 2001. Washington, DC: U.S. Census Bureau.</w:t>
      </w:r>
    </w:p>
    <w:p w14:paraId="1E58180C" w14:textId="4889E0AB" w:rsidR="064BF152" w:rsidRPr="00A20E99" w:rsidRDefault="4D1156B8" w:rsidP="001350BC">
      <w:pPr>
        <w:ind w:left="720" w:hanging="720"/>
        <w:rPr>
          <w:rFonts w:eastAsia="Arial" w:cstheme="minorHAnsi"/>
        </w:rPr>
      </w:pPr>
      <w:r w:rsidRPr="4D1156B8">
        <w:rPr>
          <w:rFonts w:eastAsia="Arial"/>
        </w:rPr>
        <w:t xml:space="preserve">Rogers, A. </w:t>
      </w:r>
      <w:r w:rsidR="00343CFD">
        <w:rPr>
          <w:rFonts w:eastAsia="Arial"/>
        </w:rPr>
        <w:t xml:space="preserve">1990. </w:t>
      </w:r>
      <w:r w:rsidRPr="4D1156B8">
        <w:rPr>
          <w:rFonts w:eastAsia="Arial"/>
        </w:rPr>
        <w:t>"Requiem for the net migrant</w:t>
      </w:r>
      <w:r w:rsidR="00343CFD">
        <w:rPr>
          <w:rFonts w:eastAsia="Arial"/>
        </w:rPr>
        <w:t>,</w:t>
      </w:r>
      <w:r w:rsidRPr="4D1156B8">
        <w:rPr>
          <w:rFonts w:eastAsia="Arial"/>
        </w:rPr>
        <w:t xml:space="preserve">" </w:t>
      </w:r>
      <w:r w:rsidRPr="4D1156B8">
        <w:rPr>
          <w:rFonts w:eastAsia="Arial"/>
          <w:i/>
          <w:iCs/>
        </w:rPr>
        <w:t>Geographical analysis</w:t>
      </w:r>
      <w:r w:rsidR="00343CFD">
        <w:rPr>
          <w:rFonts w:eastAsia="Arial"/>
          <w:i/>
          <w:iCs/>
        </w:rPr>
        <w:t>,</w:t>
      </w:r>
      <w:r w:rsidRPr="4D1156B8">
        <w:rPr>
          <w:rFonts w:eastAsia="Arial"/>
        </w:rPr>
        <w:t xml:space="preserve"> 22.4: 283-300.</w:t>
      </w:r>
    </w:p>
    <w:p w14:paraId="74913432" w14:textId="0302BA3F" w:rsidR="4D1156B8" w:rsidRDefault="4D1156B8" w:rsidP="4D1156B8">
      <w:pPr>
        <w:ind w:left="720" w:hanging="720"/>
        <w:rPr>
          <w:rFonts w:eastAsia="Arial"/>
        </w:rPr>
      </w:pPr>
      <w:r w:rsidRPr="4D1156B8">
        <w:rPr>
          <w:rFonts w:eastAsia="Arial"/>
        </w:rPr>
        <w:t>Siegel, J</w:t>
      </w:r>
      <w:r w:rsidR="00343CFD">
        <w:rPr>
          <w:rFonts w:eastAsia="Arial"/>
        </w:rPr>
        <w:t>.</w:t>
      </w:r>
      <w:r w:rsidRPr="4D1156B8">
        <w:rPr>
          <w:rFonts w:eastAsia="Arial"/>
        </w:rPr>
        <w:t xml:space="preserve"> S. and C. H</w:t>
      </w:r>
      <w:r w:rsidR="00343CFD">
        <w:rPr>
          <w:rFonts w:eastAsia="Arial"/>
        </w:rPr>
        <w:t>.</w:t>
      </w:r>
      <w:r w:rsidRPr="4D1156B8">
        <w:rPr>
          <w:rFonts w:eastAsia="Arial"/>
        </w:rPr>
        <w:t xml:space="preserve"> Hamilton. 1952. “Some Considerations in the Use of the Residual Method of Estimating Net Migration</w:t>
      </w:r>
      <w:r w:rsidR="00A26126">
        <w:rPr>
          <w:rFonts w:eastAsia="Arial"/>
        </w:rPr>
        <w:t>,</w:t>
      </w:r>
      <w:r w:rsidRPr="4D1156B8">
        <w:rPr>
          <w:rFonts w:eastAsia="Arial"/>
        </w:rPr>
        <w:t xml:space="preserve">” </w:t>
      </w:r>
      <w:r w:rsidRPr="4D1156B8">
        <w:rPr>
          <w:rFonts w:eastAsia="Arial"/>
          <w:i/>
          <w:iCs/>
        </w:rPr>
        <w:t>Journal of the American Statistical Association</w:t>
      </w:r>
      <w:r w:rsidRPr="4D1156B8">
        <w:rPr>
          <w:rFonts w:eastAsia="Arial"/>
        </w:rPr>
        <w:t>, 47:475-500.</w:t>
      </w:r>
    </w:p>
    <w:p w14:paraId="2A7CA9EB" w14:textId="2F2E4CC7" w:rsidR="00D8029F" w:rsidRPr="00A20E99" w:rsidRDefault="00D8029F" w:rsidP="001350BC">
      <w:pPr>
        <w:ind w:left="720" w:hanging="720"/>
        <w:rPr>
          <w:rFonts w:eastAsia="Calibri" w:cstheme="minorHAnsi"/>
        </w:rPr>
      </w:pPr>
      <w:r w:rsidRPr="00A20E99">
        <w:rPr>
          <w:rFonts w:eastAsia="Arial" w:cstheme="minorHAnsi"/>
        </w:rPr>
        <w:t>Sullivan, T</w:t>
      </w:r>
      <w:r w:rsidR="00343CFD">
        <w:rPr>
          <w:rFonts w:eastAsia="Arial" w:cstheme="minorHAnsi"/>
        </w:rPr>
        <w:t>.</w:t>
      </w:r>
      <w:r w:rsidRPr="00A20E99">
        <w:rPr>
          <w:rFonts w:eastAsia="Arial" w:cstheme="minorHAnsi"/>
        </w:rPr>
        <w:t xml:space="preserve"> A. and D</w:t>
      </w:r>
      <w:r w:rsidR="00343CFD">
        <w:rPr>
          <w:rFonts w:eastAsia="Arial" w:cstheme="minorHAnsi"/>
        </w:rPr>
        <w:t>.</w:t>
      </w:r>
      <w:r w:rsidRPr="00A20E99">
        <w:rPr>
          <w:rFonts w:eastAsia="Arial" w:cstheme="minorHAnsi"/>
        </w:rPr>
        <w:t xml:space="preserve"> L. Cork (eds.). 2023. Assessing the 2020 Census. National Academies of Sciences, Engineering, and Medicine; Division of Behavioral and Social Sciences and Education; Committee on National Statistics; Panel to Evaluate the Quality of the 2020 Census. </w:t>
      </w:r>
    </w:p>
    <w:p w14:paraId="6ACA789D" w14:textId="46DAB51E" w:rsidR="007D2060" w:rsidRPr="00A20E99" w:rsidRDefault="007D2060" w:rsidP="001350BC">
      <w:pPr>
        <w:ind w:left="720" w:hanging="720"/>
        <w:rPr>
          <w:rFonts w:cstheme="minorHAnsi"/>
        </w:rPr>
      </w:pPr>
      <w:r w:rsidRPr="00A20E99">
        <w:rPr>
          <w:rFonts w:cstheme="minorHAnsi"/>
        </w:rPr>
        <w:t>U.S. Census Bureau</w:t>
      </w:r>
      <w:r w:rsidR="008A3BF5">
        <w:rPr>
          <w:rFonts w:cstheme="minorHAnsi"/>
        </w:rPr>
        <w:t>.</w:t>
      </w:r>
      <w:r w:rsidRPr="00A20E99">
        <w:rPr>
          <w:rFonts w:cstheme="minorHAnsi"/>
        </w:rPr>
        <w:t xml:space="preserve"> 2012. 2010 Demographic Analysis Estimates (Revised). Washington, DC: U.S. Census Bureau. </w:t>
      </w:r>
      <w:hyperlink r:id="rId18" w:history="1">
        <w:r w:rsidRPr="00A20E99">
          <w:rPr>
            <w:rStyle w:val="Hyperlink"/>
            <w:rFonts w:cstheme="minorHAnsi"/>
            <w:color w:val="auto"/>
          </w:rPr>
          <w:t>https://www.census.gov/programs-surveys/popest/technical-documentation/research/demographic-analysis.html</w:t>
        </w:r>
      </w:hyperlink>
      <w:r w:rsidRPr="00A20E99">
        <w:rPr>
          <w:rFonts w:cstheme="minorHAnsi"/>
        </w:rPr>
        <w:t>, last accessed 14 July 2020</w:t>
      </w:r>
    </w:p>
    <w:p w14:paraId="748203E3" w14:textId="3A7693E5" w:rsidR="007D2060" w:rsidRDefault="007D2060" w:rsidP="001350BC">
      <w:pPr>
        <w:ind w:left="720" w:hanging="720"/>
        <w:rPr>
          <w:rFonts w:cstheme="minorHAnsi"/>
        </w:rPr>
      </w:pPr>
      <w:r w:rsidRPr="00A20E99">
        <w:rPr>
          <w:rFonts w:cstheme="minorHAnsi"/>
        </w:rPr>
        <w:t>U.S. Census Bureau</w:t>
      </w:r>
      <w:r w:rsidR="008A3BF5">
        <w:rPr>
          <w:rFonts w:cstheme="minorHAnsi"/>
        </w:rPr>
        <w:t>.</w:t>
      </w:r>
      <w:r w:rsidRPr="00A20E99">
        <w:rPr>
          <w:rFonts w:cstheme="minorHAnsi"/>
        </w:rPr>
        <w:t xml:space="preserve"> 2019</w:t>
      </w:r>
      <w:r w:rsidR="008A3BF5">
        <w:rPr>
          <w:rFonts w:cstheme="minorHAnsi"/>
        </w:rPr>
        <w:t>.</w:t>
      </w:r>
      <w:r w:rsidRPr="00A20E99">
        <w:rPr>
          <w:rFonts w:cstheme="minorHAnsi"/>
        </w:rPr>
        <w:t xml:space="preserve"> </w:t>
      </w:r>
      <w:r w:rsidRPr="00A20E99">
        <w:rPr>
          <w:rFonts w:cstheme="minorHAnsi"/>
          <w:i/>
          <w:iCs/>
        </w:rPr>
        <w:t>Annual County Resident Population Estimates by Age, Sex, Race, and Hispanic Origin: April 1, 2010 to July 1, 2018,</w:t>
      </w:r>
      <w:r w:rsidRPr="00A20E99">
        <w:rPr>
          <w:rFonts w:cstheme="minorHAnsi"/>
        </w:rPr>
        <w:t xml:space="preserve"> file cc-est2018-alldata.csv. Washington, DC: U.S. Census Bureau.</w:t>
      </w:r>
    </w:p>
    <w:p w14:paraId="7DC1764C" w14:textId="77777777" w:rsidR="00834499" w:rsidRDefault="00834499" w:rsidP="001350BC">
      <w:pPr>
        <w:ind w:left="720" w:hanging="720"/>
        <w:rPr>
          <w:rFonts w:cstheme="minorHAnsi"/>
        </w:rPr>
      </w:pPr>
      <w:r w:rsidRPr="00A20E99">
        <w:rPr>
          <w:rFonts w:cstheme="minorHAnsi"/>
        </w:rPr>
        <w:t>U.S. Census Bureau</w:t>
      </w:r>
      <w:r>
        <w:rPr>
          <w:rFonts w:cstheme="minorHAnsi"/>
        </w:rPr>
        <w:t>.</w:t>
      </w:r>
      <w:r w:rsidRPr="00A20E99">
        <w:rPr>
          <w:rFonts w:cstheme="minorHAnsi"/>
        </w:rPr>
        <w:t xml:space="preserve"> 20</w:t>
      </w:r>
      <w:r>
        <w:rPr>
          <w:rFonts w:cstheme="minorHAnsi"/>
        </w:rPr>
        <w:t>22.</w:t>
      </w:r>
      <w:r w:rsidRPr="00A20E99">
        <w:rPr>
          <w:rFonts w:cstheme="minorHAnsi"/>
        </w:rPr>
        <w:t xml:space="preserve"> </w:t>
      </w:r>
      <w:r w:rsidRPr="00834499">
        <w:rPr>
          <w:rFonts w:cstheme="minorHAnsi"/>
          <w:i/>
          <w:iCs/>
        </w:rPr>
        <w:t xml:space="preserve">Methodology for the </w:t>
      </w:r>
      <w:r>
        <w:rPr>
          <w:rFonts w:cstheme="minorHAnsi"/>
          <w:i/>
          <w:iCs/>
        </w:rPr>
        <w:t>U</w:t>
      </w:r>
      <w:r w:rsidRPr="00834499">
        <w:rPr>
          <w:rFonts w:cstheme="minorHAnsi"/>
          <w:i/>
          <w:iCs/>
        </w:rPr>
        <w:t xml:space="preserve">nited </w:t>
      </w:r>
      <w:r>
        <w:rPr>
          <w:rFonts w:cstheme="minorHAnsi"/>
          <w:i/>
          <w:iCs/>
        </w:rPr>
        <w:t>S</w:t>
      </w:r>
      <w:r w:rsidRPr="00834499">
        <w:rPr>
          <w:rFonts w:cstheme="minorHAnsi"/>
          <w:i/>
          <w:iCs/>
        </w:rPr>
        <w:t>tates population estimates: vintage 2022</w:t>
      </w:r>
      <w:r w:rsidRPr="00A20E99">
        <w:rPr>
          <w:rFonts w:cstheme="minorHAnsi"/>
        </w:rPr>
        <w:t>. Washington, DC: U.S. Census Bureau.</w:t>
      </w:r>
    </w:p>
    <w:p w14:paraId="7C200475" w14:textId="1E444BE1" w:rsidR="00834499" w:rsidRDefault="00834499" w:rsidP="001350BC">
      <w:pPr>
        <w:ind w:left="720" w:hanging="720"/>
        <w:rPr>
          <w:rFonts w:cstheme="minorHAnsi"/>
        </w:rPr>
      </w:pPr>
      <w:r w:rsidRPr="00A20E99">
        <w:rPr>
          <w:rFonts w:cstheme="minorHAnsi"/>
        </w:rPr>
        <w:t>U.S. Census Bureau</w:t>
      </w:r>
      <w:r>
        <w:rPr>
          <w:rFonts w:cstheme="minorHAnsi"/>
        </w:rPr>
        <w:t>.</w:t>
      </w:r>
      <w:r w:rsidRPr="00A20E99">
        <w:rPr>
          <w:rFonts w:cstheme="minorHAnsi"/>
        </w:rPr>
        <w:t xml:space="preserve"> 20</w:t>
      </w:r>
      <w:r>
        <w:rPr>
          <w:rFonts w:cstheme="minorHAnsi"/>
        </w:rPr>
        <w:t>23.</w:t>
      </w:r>
      <w:r w:rsidRPr="00A20E99">
        <w:rPr>
          <w:rFonts w:cstheme="minorHAnsi"/>
        </w:rPr>
        <w:t xml:space="preserve"> </w:t>
      </w:r>
      <w:r w:rsidRPr="00834499">
        <w:rPr>
          <w:rFonts w:cstheme="minorHAnsi"/>
          <w:i/>
          <w:iCs/>
        </w:rPr>
        <w:t>Annual County Resident Population Estimates by Age, Sex, Race, and Hispanic Origin: April 1, 2020 to July 1, 2022</w:t>
      </w:r>
      <w:r w:rsidRPr="00A20E99">
        <w:rPr>
          <w:rFonts w:cstheme="minorHAnsi"/>
          <w:i/>
          <w:iCs/>
        </w:rPr>
        <w:t>,</w:t>
      </w:r>
      <w:r w:rsidRPr="00A20E99">
        <w:rPr>
          <w:rFonts w:cstheme="minorHAnsi"/>
        </w:rPr>
        <w:t xml:space="preserve"> file cc-est20</w:t>
      </w:r>
      <w:r>
        <w:rPr>
          <w:rFonts w:cstheme="minorHAnsi"/>
        </w:rPr>
        <w:t>22</w:t>
      </w:r>
      <w:r w:rsidRPr="00A20E99">
        <w:rPr>
          <w:rFonts w:cstheme="minorHAnsi"/>
        </w:rPr>
        <w:t>-alldata.csv. Washington, DC: U.S. Census Bureau.</w:t>
      </w:r>
    </w:p>
    <w:p w14:paraId="64727DE3" w14:textId="71D8E7F7" w:rsidR="00A20E99" w:rsidRPr="00A20E99" w:rsidRDefault="00A20E99" w:rsidP="001350BC">
      <w:pPr>
        <w:ind w:left="720" w:hanging="720"/>
        <w:rPr>
          <w:rFonts w:cstheme="minorHAnsi"/>
        </w:rPr>
      </w:pPr>
      <w:r w:rsidRPr="00A20E99">
        <w:rPr>
          <w:rFonts w:cstheme="minorHAnsi"/>
        </w:rPr>
        <w:t xml:space="preserve">Voss, P. R., S. McNiven, R. B. Hammer, K. M. Johnson, </w:t>
      </w:r>
      <w:r w:rsidR="00343CFD">
        <w:rPr>
          <w:rFonts w:cstheme="minorHAnsi"/>
        </w:rPr>
        <w:t xml:space="preserve">and </w:t>
      </w:r>
      <w:r w:rsidRPr="00A20E99">
        <w:rPr>
          <w:rFonts w:cstheme="minorHAnsi"/>
        </w:rPr>
        <w:t>G. V. Fuguitt. 2004. County-specific net migration by five-year age groups, Hispanic origin, race and sex 1990-2000. CDE Working Paper No. 2004-24. Center for Demography and Ecology, University of Wisconsin-Madison. Madison, WI.</w:t>
      </w:r>
      <w:r w:rsidR="006A61E1">
        <w:rPr>
          <w:rFonts w:cstheme="minorHAnsi"/>
        </w:rPr>
        <w:t xml:space="preserve"> </w:t>
      </w:r>
      <w:r w:rsidR="006A61E1">
        <w:t>https://doi.org/10.3886/ICPSR04171.v1</w:t>
      </w:r>
    </w:p>
    <w:p w14:paraId="14D12530" w14:textId="54A0C5E1" w:rsidR="00A20E99" w:rsidRDefault="00A20E99" w:rsidP="001350BC">
      <w:pPr>
        <w:ind w:left="720" w:hanging="720"/>
        <w:rPr>
          <w:rFonts w:cstheme="minorHAnsi"/>
        </w:rPr>
      </w:pPr>
      <w:r w:rsidRPr="00A20E99">
        <w:rPr>
          <w:rFonts w:cstheme="minorHAnsi"/>
        </w:rPr>
        <w:t xml:space="preserve">White, M. J., P. </w:t>
      </w:r>
      <w:proofErr w:type="spellStart"/>
      <w:r w:rsidRPr="00A20E99">
        <w:rPr>
          <w:rFonts w:cstheme="minorHAnsi"/>
        </w:rPr>
        <w:t>Mueser</w:t>
      </w:r>
      <w:proofErr w:type="spellEnd"/>
      <w:r w:rsidRPr="00A20E99">
        <w:rPr>
          <w:rFonts w:cstheme="minorHAnsi"/>
        </w:rPr>
        <w:t>, and J. P. Tierney.</w:t>
      </w:r>
      <w:r w:rsidR="00343CFD">
        <w:rPr>
          <w:rFonts w:cstheme="minorHAnsi"/>
        </w:rPr>
        <w:t xml:space="preserve"> </w:t>
      </w:r>
      <w:r w:rsidRPr="00A20E99">
        <w:rPr>
          <w:rFonts w:cstheme="minorHAnsi"/>
        </w:rPr>
        <w:t>1987. Net migration of the population of the United States 1970-80, by age, race and sex. (Computer file with documentation.) Ann Arbor, MI: Inter-university Consortium for Political and Social Research.</w:t>
      </w:r>
    </w:p>
    <w:p w14:paraId="1FE8CE8D" w14:textId="7AB3CFFF" w:rsidR="00A20E99" w:rsidRDefault="23DBA195" w:rsidP="23DBA195">
      <w:pPr>
        <w:ind w:left="720" w:hanging="720"/>
        <w:rPr>
          <w:rFonts w:eastAsiaTheme="minorEastAsia"/>
        </w:rPr>
      </w:pPr>
      <w:r w:rsidRPr="23DBA195">
        <w:rPr>
          <w:rFonts w:eastAsiaTheme="minorEastAsia"/>
        </w:rPr>
        <w:t xml:space="preserve">Winkler, R.L., K. M. Johnson, C. Cheng, P.R. Voss, and K.J. Curtis. 2013. County-specific net migration by five-year age groups, Hispanic origin, race and sex 2000-2010. CDE Working Paper No. 2013-04. </w:t>
      </w:r>
      <w:r w:rsidRPr="23DBA195">
        <w:rPr>
          <w:rFonts w:eastAsiaTheme="minorEastAsia"/>
        </w:rPr>
        <w:lastRenderedPageBreak/>
        <w:t>Center for Demography and Ecology, University of Wisconsin-Madison. Madison, WI.</w:t>
      </w:r>
      <w:r w:rsidR="006A61E1">
        <w:rPr>
          <w:rFonts w:eastAsiaTheme="minorEastAsia"/>
        </w:rPr>
        <w:t xml:space="preserve"> </w:t>
      </w:r>
      <w:r w:rsidR="006A61E1">
        <w:t>https://doi.org/10.3886/ICPSR34638.v1</w:t>
      </w:r>
    </w:p>
    <w:p w14:paraId="53DF0FA1" w14:textId="29B0F71D" w:rsidR="23DBA195" w:rsidRDefault="23DBA195" w:rsidP="23DBA195">
      <w:pPr>
        <w:ind w:left="720" w:hanging="720"/>
        <w:rPr>
          <w:rFonts w:eastAsiaTheme="minorEastAsia"/>
        </w:rPr>
      </w:pPr>
      <w:r w:rsidRPr="23DBA195">
        <w:rPr>
          <w:rFonts w:eastAsiaTheme="minorEastAsia"/>
        </w:rPr>
        <w:t>Winkler, R.L., J.L. Butler, K.J. Curtis, and D. Egan-Robertson. 202</w:t>
      </w:r>
      <w:r w:rsidR="00A26126">
        <w:rPr>
          <w:rFonts w:eastAsiaTheme="minorEastAsia"/>
        </w:rPr>
        <w:t>2</w:t>
      </w:r>
      <w:r w:rsidRPr="23DBA195">
        <w:rPr>
          <w:rFonts w:eastAsiaTheme="minorEastAsia"/>
        </w:rPr>
        <w:t xml:space="preserve">. </w:t>
      </w:r>
      <w:r w:rsidR="00A26126">
        <w:rPr>
          <w:rFonts w:eastAsiaTheme="minorEastAsia"/>
        </w:rPr>
        <w:t>“</w:t>
      </w:r>
      <w:r w:rsidRPr="23DBA195">
        <w:rPr>
          <w:rFonts w:eastAsiaTheme="minorEastAsia"/>
        </w:rPr>
        <w:t>Differential privacy and the accuracy of county-level net migration estimates</w:t>
      </w:r>
      <w:r w:rsidR="00A26126">
        <w:rPr>
          <w:rFonts w:eastAsiaTheme="minorEastAsia"/>
        </w:rPr>
        <w:t>,”</w:t>
      </w:r>
      <w:r w:rsidRPr="23DBA195">
        <w:rPr>
          <w:rFonts w:eastAsiaTheme="minorEastAsia"/>
        </w:rPr>
        <w:t xml:space="preserve"> </w:t>
      </w:r>
      <w:r w:rsidRPr="23DBA195">
        <w:rPr>
          <w:rFonts w:eastAsiaTheme="minorEastAsia"/>
          <w:i/>
          <w:iCs/>
        </w:rPr>
        <w:t>Population Research and Policy Review</w:t>
      </w:r>
      <w:r w:rsidRPr="23DBA195">
        <w:rPr>
          <w:rFonts w:eastAsiaTheme="minorEastAsia"/>
        </w:rPr>
        <w:t xml:space="preserve">, </w:t>
      </w:r>
      <w:r w:rsidR="00A26126" w:rsidRPr="00A26126">
        <w:rPr>
          <w:rFonts w:eastAsiaTheme="minorEastAsia"/>
        </w:rPr>
        <w:t>41:417–435</w:t>
      </w:r>
      <w:r w:rsidRPr="23DBA195">
        <w:rPr>
          <w:rFonts w:eastAsiaTheme="minorEastAsia"/>
        </w:rPr>
        <w:t>.</w:t>
      </w:r>
    </w:p>
    <w:p w14:paraId="316F8FB5" w14:textId="77777777" w:rsidR="00A20E99" w:rsidRPr="00A20E99" w:rsidRDefault="00A20E99" w:rsidP="00A20E99">
      <w:pPr>
        <w:rPr>
          <w:rFonts w:cstheme="minorHAnsi"/>
        </w:rPr>
      </w:pPr>
    </w:p>
    <w:p w14:paraId="1E73F0C6" w14:textId="5F720DBE" w:rsidR="001F5887" w:rsidRPr="00A20E99" w:rsidRDefault="001F5887">
      <w:pPr>
        <w:rPr>
          <w:rFonts w:cstheme="minorHAnsi"/>
        </w:rPr>
      </w:pPr>
    </w:p>
    <w:p w14:paraId="12FE2953" w14:textId="69E4F794" w:rsidR="23DBA195" w:rsidRDefault="23DBA195">
      <w:r>
        <w:br w:type="page"/>
      </w:r>
    </w:p>
    <w:p w14:paraId="742DF21B" w14:textId="3D4CEB85" w:rsidR="009E4B5D" w:rsidRDefault="009E4B5D" w:rsidP="009E4B5D">
      <w:pPr>
        <w:pStyle w:val="Heading3"/>
      </w:pPr>
      <w:r>
        <w:lastRenderedPageBreak/>
        <w:t>Appendices</w:t>
      </w:r>
    </w:p>
    <w:p w14:paraId="4AF411F3" w14:textId="77777777" w:rsidR="009E4B5D" w:rsidRPr="009E4B5D" w:rsidRDefault="009E4B5D" w:rsidP="009E4B5D"/>
    <w:p w14:paraId="0D201CDF" w14:textId="24005F18" w:rsidR="009E4B5D" w:rsidRDefault="009E4B5D" w:rsidP="009E4B5D">
      <w:pPr>
        <w:pStyle w:val="Heading4"/>
      </w:pPr>
      <w:r>
        <w:t xml:space="preserve">Appendix 1: </w:t>
      </w:r>
      <w:r w:rsidRPr="009E4B5D">
        <w:t>Census 2010 Adjustments based on Demographic Analysis (DA) and Census Coverage Measurement survey (CCM)</w:t>
      </w:r>
    </w:p>
    <w:p w14:paraId="6CF3DD74" w14:textId="4A56982B" w:rsidR="009E4B5D" w:rsidRDefault="009E4B5D" w:rsidP="009E4B5D">
      <w:pPr>
        <w:spacing w:before="90"/>
        <w:rPr>
          <w:rFonts w:cstheme="minorHAnsi"/>
          <w:szCs w:val="20"/>
        </w:rPr>
      </w:pPr>
      <w:r w:rsidRPr="009E4B5D">
        <w:rPr>
          <w:rFonts w:cstheme="minorHAnsi"/>
          <w:szCs w:val="20"/>
        </w:rPr>
        <w:t>Positive values indicate a</w:t>
      </w:r>
      <w:r w:rsidR="00593358">
        <w:rPr>
          <w:rFonts w:cstheme="minorHAnsi"/>
          <w:szCs w:val="20"/>
        </w:rPr>
        <w:t>n estimated</w:t>
      </w:r>
      <w:r w:rsidRPr="009E4B5D">
        <w:rPr>
          <w:rFonts w:cstheme="minorHAnsi"/>
          <w:szCs w:val="20"/>
        </w:rPr>
        <w:t xml:space="preserve"> net </w:t>
      </w:r>
      <w:r w:rsidRPr="009E4B5D">
        <w:rPr>
          <w:rFonts w:cstheme="minorHAnsi"/>
          <w:i/>
          <w:szCs w:val="20"/>
        </w:rPr>
        <w:t>undercount</w:t>
      </w:r>
      <w:r>
        <w:rPr>
          <w:rFonts w:cstheme="minorHAnsi"/>
          <w:szCs w:val="20"/>
        </w:rPr>
        <w:t xml:space="preserve">, thus the Estimates Base values were </w:t>
      </w:r>
      <w:r w:rsidRPr="009E4B5D">
        <w:rPr>
          <w:rFonts w:cstheme="minorHAnsi"/>
          <w:i/>
          <w:szCs w:val="20"/>
        </w:rPr>
        <w:t>increased</w:t>
      </w:r>
      <w:r w:rsidRPr="009E4B5D">
        <w:rPr>
          <w:rFonts w:cstheme="minorHAnsi"/>
          <w:szCs w:val="20"/>
        </w:rPr>
        <w:t xml:space="preserve">. </w:t>
      </w:r>
      <w:r>
        <w:rPr>
          <w:rFonts w:cstheme="minorHAnsi"/>
          <w:szCs w:val="20"/>
        </w:rPr>
        <w:t>Conversely, n</w:t>
      </w:r>
      <w:r w:rsidRPr="009E4B5D">
        <w:rPr>
          <w:rFonts w:cstheme="minorHAnsi"/>
          <w:szCs w:val="20"/>
        </w:rPr>
        <w:t>egative values indicate</w:t>
      </w:r>
      <w:r>
        <w:rPr>
          <w:rFonts w:cstheme="minorHAnsi"/>
          <w:szCs w:val="20"/>
        </w:rPr>
        <w:t xml:space="preserve"> </w:t>
      </w:r>
      <w:r w:rsidRPr="009E4B5D">
        <w:rPr>
          <w:rFonts w:cstheme="minorHAnsi"/>
          <w:szCs w:val="20"/>
        </w:rPr>
        <w:t>a</w:t>
      </w:r>
      <w:r w:rsidR="00593358">
        <w:rPr>
          <w:rFonts w:cstheme="minorHAnsi"/>
          <w:szCs w:val="20"/>
        </w:rPr>
        <w:t>n estimated</w:t>
      </w:r>
      <w:r w:rsidRPr="009E4B5D">
        <w:rPr>
          <w:rFonts w:cstheme="minorHAnsi"/>
          <w:szCs w:val="20"/>
        </w:rPr>
        <w:t xml:space="preserve"> net </w:t>
      </w:r>
      <w:r w:rsidRPr="009E4B5D">
        <w:rPr>
          <w:rFonts w:cstheme="minorHAnsi"/>
          <w:i/>
          <w:szCs w:val="20"/>
        </w:rPr>
        <w:t>overcount</w:t>
      </w:r>
      <w:r>
        <w:rPr>
          <w:rFonts w:cstheme="minorHAnsi"/>
          <w:szCs w:val="20"/>
        </w:rPr>
        <w:t xml:space="preserve">, and the corresponding Estimates Base values were </w:t>
      </w:r>
      <w:r w:rsidRPr="009E4B5D">
        <w:rPr>
          <w:rFonts w:cstheme="minorHAnsi"/>
          <w:i/>
          <w:szCs w:val="20"/>
        </w:rPr>
        <w:t>decreased</w:t>
      </w:r>
      <w:r w:rsidRPr="009E4B5D">
        <w:rPr>
          <w:rFonts w:cstheme="minorHAnsi"/>
          <w:szCs w:val="20"/>
        </w:rPr>
        <w:t>. All values are in percent.</w:t>
      </w:r>
    </w:p>
    <w:p w14:paraId="758EF82F" w14:textId="3966D6CF" w:rsidR="00C04CD6" w:rsidRPr="009E4B5D" w:rsidRDefault="00C04CD6" w:rsidP="009E4B5D">
      <w:pPr>
        <w:spacing w:before="90"/>
        <w:rPr>
          <w:rFonts w:cstheme="minorHAnsi"/>
          <w:szCs w:val="20"/>
        </w:rPr>
      </w:pPr>
      <w:r>
        <w:rPr>
          <w:rFonts w:cstheme="minorHAnsi"/>
          <w:szCs w:val="20"/>
        </w:rPr>
        <w:t>Table 1: Adjustments to the Census 2010 Population Estimates Base</w:t>
      </w:r>
    </w:p>
    <w:tbl>
      <w:tblPr>
        <w:tblW w:w="7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629"/>
        <w:gridCol w:w="733"/>
        <w:gridCol w:w="644"/>
        <w:gridCol w:w="734"/>
        <w:gridCol w:w="630"/>
        <w:gridCol w:w="769"/>
        <w:gridCol w:w="644"/>
        <w:gridCol w:w="734"/>
        <w:gridCol w:w="630"/>
        <w:gridCol w:w="769"/>
      </w:tblGrid>
      <w:tr w:rsidR="002D0AF4" w:rsidRPr="009E4B5D" w14:paraId="1EAE4A92" w14:textId="77777777">
        <w:trPr>
          <w:trHeight w:val="287"/>
          <w:jc w:val="center"/>
        </w:trPr>
        <w:tc>
          <w:tcPr>
            <w:tcW w:w="7780" w:type="dxa"/>
            <w:gridSpan w:val="11"/>
            <w:vAlign w:val="center"/>
          </w:tcPr>
          <w:p w14:paraId="6EA08229" w14:textId="28446377" w:rsidR="002D0AF4"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b/>
                <w:sz w:val="20"/>
                <w:szCs w:val="20"/>
              </w:rPr>
              <w:t>Percent Adjustment to 2010</w:t>
            </w:r>
            <w:r>
              <w:rPr>
                <w:rFonts w:asciiTheme="minorHAnsi" w:hAnsiTheme="minorHAnsi" w:cstheme="minorHAnsi"/>
                <w:b/>
                <w:sz w:val="20"/>
                <w:szCs w:val="20"/>
              </w:rPr>
              <w:t xml:space="preserve"> Estimates Base</w:t>
            </w:r>
          </w:p>
        </w:tc>
      </w:tr>
      <w:tr w:rsidR="002D0AF4" w:rsidRPr="009E4B5D" w14:paraId="20D2A264" w14:textId="77777777" w:rsidTr="002D0AF4">
        <w:trPr>
          <w:trHeight w:val="287"/>
          <w:jc w:val="center"/>
        </w:trPr>
        <w:tc>
          <w:tcPr>
            <w:tcW w:w="864" w:type="dxa"/>
            <w:vAlign w:val="center"/>
          </w:tcPr>
          <w:p w14:paraId="6A55B971" w14:textId="01A86D25" w:rsidR="002D0AF4" w:rsidRPr="009E4B5D" w:rsidRDefault="002D0AF4" w:rsidP="002D0AF4">
            <w:pPr>
              <w:pStyle w:val="TableParagraph"/>
              <w:spacing w:line="240" w:lineRule="auto"/>
              <w:jc w:val="center"/>
              <w:rPr>
                <w:rFonts w:asciiTheme="minorHAnsi" w:hAnsiTheme="minorHAnsi" w:cstheme="minorHAnsi"/>
                <w:sz w:val="20"/>
                <w:szCs w:val="20"/>
              </w:rPr>
            </w:pPr>
            <w:r>
              <w:rPr>
                <w:rFonts w:asciiTheme="minorHAnsi" w:hAnsiTheme="minorHAnsi" w:cstheme="minorHAnsi"/>
                <w:sz w:val="20"/>
                <w:szCs w:val="20"/>
              </w:rPr>
              <w:t>Ag</w:t>
            </w:r>
            <w:r w:rsidRPr="009E4B5D">
              <w:rPr>
                <w:rFonts w:asciiTheme="minorHAnsi" w:hAnsiTheme="minorHAnsi" w:cstheme="minorHAnsi"/>
                <w:sz w:val="20"/>
                <w:szCs w:val="20"/>
              </w:rPr>
              <w:t>e</w:t>
            </w:r>
          </w:p>
        </w:tc>
        <w:tc>
          <w:tcPr>
            <w:tcW w:w="1362" w:type="dxa"/>
            <w:gridSpan w:val="2"/>
            <w:vAlign w:val="center"/>
          </w:tcPr>
          <w:p w14:paraId="75B803E2"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NH White</w:t>
            </w:r>
          </w:p>
        </w:tc>
        <w:tc>
          <w:tcPr>
            <w:tcW w:w="1378" w:type="dxa"/>
            <w:gridSpan w:val="2"/>
            <w:vAlign w:val="center"/>
          </w:tcPr>
          <w:p w14:paraId="2F79DB28" w14:textId="1A65DFFC" w:rsidR="002D0AF4" w:rsidRPr="009E4B5D" w:rsidRDefault="002D0AF4" w:rsidP="002D0AF4">
            <w:pPr>
              <w:pStyle w:val="TableParagraph"/>
              <w:spacing w:line="240" w:lineRule="auto"/>
              <w:jc w:val="center"/>
              <w:rPr>
                <w:rFonts w:asciiTheme="minorHAnsi" w:hAnsiTheme="minorHAnsi" w:cstheme="minorHAnsi"/>
                <w:sz w:val="20"/>
                <w:szCs w:val="20"/>
              </w:rPr>
            </w:pPr>
            <w:r>
              <w:rPr>
                <w:rFonts w:asciiTheme="minorHAnsi" w:hAnsiTheme="minorHAnsi" w:cstheme="minorHAnsi"/>
                <w:sz w:val="20"/>
                <w:szCs w:val="20"/>
              </w:rPr>
              <w:t xml:space="preserve">NH </w:t>
            </w:r>
            <w:r w:rsidRPr="009E4B5D">
              <w:rPr>
                <w:rFonts w:asciiTheme="minorHAnsi" w:hAnsiTheme="minorHAnsi" w:cstheme="minorHAnsi"/>
                <w:sz w:val="20"/>
                <w:szCs w:val="20"/>
              </w:rPr>
              <w:t>Black</w:t>
            </w:r>
          </w:p>
        </w:tc>
        <w:tc>
          <w:tcPr>
            <w:tcW w:w="1399" w:type="dxa"/>
            <w:gridSpan w:val="2"/>
            <w:vAlign w:val="center"/>
          </w:tcPr>
          <w:p w14:paraId="70D9504A"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Hispanic</w:t>
            </w:r>
          </w:p>
        </w:tc>
        <w:tc>
          <w:tcPr>
            <w:tcW w:w="1378" w:type="dxa"/>
            <w:gridSpan w:val="2"/>
            <w:vAlign w:val="center"/>
          </w:tcPr>
          <w:p w14:paraId="5BEA2104"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AIAN</w:t>
            </w:r>
          </w:p>
        </w:tc>
        <w:tc>
          <w:tcPr>
            <w:tcW w:w="1399" w:type="dxa"/>
            <w:gridSpan w:val="2"/>
            <w:vAlign w:val="center"/>
          </w:tcPr>
          <w:p w14:paraId="4001734A" w14:textId="1424FCC3" w:rsidR="002D0AF4" w:rsidRPr="009E4B5D" w:rsidRDefault="002D0AF4" w:rsidP="002D0AF4">
            <w:pPr>
              <w:pStyle w:val="TableParagraph"/>
              <w:spacing w:line="240" w:lineRule="auto"/>
              <w:jc w:val="center"/>
              <w:rPr>
                <w:rFonts w:asciiTheme="minorHAnsi" w:hAnsiTheme="minorHAnsi" w:cstheme="minorHAnsi"/>
                <w:sz w:val="20"/>
                <w:szCs w:val="20"/>
              </w:rPr>
            </w:pPr>
            <w:r>
              <w:rPr>
                <w:rFonts w:asciiTheme="minorHAnsi" w:hAnsiTheme="minorHAnsi" w:cstheme="minorHAnsi"/>
                <w:sz w:val="20"/>
                <w:szCs w:val="20"/>
              </w:rPr>
              <w:t xml:space="preserve">NH </w:t>
            </w:r>
            <w:r w:rsidRPr="009E4B5D">
              <w:rPr>
                <w:rFonts w:asciiTheme="minorHAnsi" w:hAnsiTheme="minorHAnsi" w:cstheme="minorHAnsi"/>
                <w:sz w:val="20"/>
                <w:szCs w:val="20"/>
              </w:rPr>
              <w:t>Asia</w:t>
            </w:r>
            <w:r>
              <w:rPr>
                <w:rFonts w:asciiTheme="minorHAnsi" w:hAnsiTheme="minorHAnsi" w:cstheme="minorHAnsi"/>
                <w:sz w:val="20"/>
                <w:szCs w:val="20"/>
              </w:rPr>
              <w:t>n/OPI</w:t>
            </w:r>
          </w:p>
        </w:tc>
      </w:tr>
      <w:tr w:rsidR="002D0AF4" w:rsidRPr="009E4B5D" w14:paraId="5FAA662C" w14:textId="77777777" w:rsidTr="002D0AF4">
        <w:trPr>
          <w:trHeight w:val="288"/>
          <w:jc w:val="center"/>
        </w:trPr>
        <w:tc>
          <w:tcPr>
            <w:tcW w:w="864" w:type="dxa"/>
          </w:tcPr>
          <w:p w14:paraId="4BAC8D2D" w14:textId="77777777" w:rsidR="002D0AF4" w:rsidRPr="009E4B5D" w:rsidRDefault="002D0AF4">
            <w:pPr>
              <w:pStyle w:val="TableParagraph"/>
              <w:spacing w:line="240" w:lineRule="auto"/>
              <w:rPr>
                <w:rFonts w:asciiTheme="minorHAnsi" w:hAnsiTheme="minorHAnsi" w:cstheme="minorHAnsi"/>
                <w:sz w:val="20"/>
                <w:szCs w:val="20"/>
              </w:rPr>
            </w:pPr>
          </w:p>
        </w:tc>
        <w:tc>
          <w:tcPr>
            <w:tcW w:w="629" w:type="dxa"/>
            <w:vAlign w:val="center"/>
          </w:tcPr>
          <w:p w14:paraId="35B0CFB0"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M</w:t>
            </w:r>
          </w:p>
        </w:tc>
        <w:tc>
          <w:tcPr>
            <w:tcW w:w="733" w:type="dxa"/>
            <w:vAlign w:val="center"/>
          </w:tcPr>
          <w:p w14:paraId="5B1C72B2"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F</w:t>
            </w:r>
          </w:p>
        </w:tc>
        <w:tc>
          <w:tcPr>
            <w:tcW w:w="644" w:type="dxa"/>
            <w:vAlign w:val="center"/>
          </w:tcPr>
          <w:p w14:paraId="6D68F5BF"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M</w:t>
            </w:r>
          </w:p>
        </w:tc>
        <w:tc>
          <w:tcPr>
            <w:tcW w:w="734" w:type="dxa"/>
            <w:vAlign w:val="center"/>
          </w:tcPr>
          <w:p w14:paraId="6EA88D7B"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F</w:t>
            </w:r>
          </w:p>
        </w:tc>
        <w:tc>
          <w:tcPr>
            <w:tcW w:w="630" w:type="dxa"/>
            <w:vAlign w:val="center"/>
          </w:tcPr>
          <w:p w14:paraId="53489381"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M</w:t>
            </w:r>
          </w:p>
        </w:tc>
        <w:tc>
          <w:tcPr>
            <w:tcW w:w="769" w:type="dxa"/>
            <w:vAlign w:val="center"/>
          </w:tcPr>
          <w:p w14:paraId="224FA464"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F</w:t>
            </w:r>
          </w:p>
        </w:tc>
        <w:tc>
          <w:tcPr>
            <w:tcW w:w="644" w:type="dxa"/>
            <w:vAlign w:val="center"/>
          </w:tcPr>
          <w:p w14:paraId="646252B6"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M</w:t>
            </w:r>
          </w:p>
        </w:tc>
        <w:tc>
          <w:tcPr>
            <w:tcW w:w="734" w:type="dxa"/>
            <w:vAlign w:val="center"/>
          </w:tcPr>
          <w:p w14:paraId="2B0C0DC6"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F</w:t>
            </w:r>
          </w:p>
        </w:tc>
        <w:tc>
          <w:tcPr>
            <w:tcW w:w="630" w:type="dxa"/>
            <w:vAlign w:val="center"/>
          </w:tcPr>
          <w:p w14:paraId="08792FDD"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M</w:t>
            </w:r>
          </w:p>
        </w:tc>
        <w:tc>
          <w:tcPr>
            <w:tcW w:w="769" w:type="dxa"/>
            <w:vAlign w:val="center"/>
          </w:tcPr>
          <w:p w14:paraId="2C2DD6FA" w14:textId="77777777" w:rsidR="002D0AF4" w:rsidRPr="009E4B5D" w:rsidRDefault="002D0AF4" w:rsidP="002D0AF4">
            <w:pPr>
              <w:pStyle w:val="TableParagraph"/>
              <w:spacing w:line="240" w:lineRule="auto"/>
              <w:jc w:val="center"/>
              <w:rPr>
                <w:rFonts w:asciiTheme="minorHAnsi" w:hAnsiTheme="minorHAnsi" w:cstheme="minorHAnsi"/>
                <w:sz w:val="20"/>
                <w:szCs w:val="20"/>
              </w:rPr>
            </w:pPr>
            <w:r w:rsidRPr="009E4B5D">
              <w:rPr>
                <w:rFonts w:asciiTheme="minorHAnsi" w:hAnsiTheme="minorHAnsi" w:cstheme="minorHAnsi"/>
                <w:sz w:val="20"/>
                <w:szCs w:val="20"/>
              </w:rPr>
              <w:t>F</w:t>
            </w:r>
          </w:p>
        </w:tc>
      </w:tr>
      <w:tr w:rsidR="002D0AF4" w:rsidRPr="009E4B5D" w14:paraId="58D90352" w14:textId="77777777" w:rsidTr="002D0AF4">
        <w:trPr>
          <w:trHeight w:val="216"/>
          <w:jc w:val="center"/>
        </w:trPr>
        <w:tc>
          <w:tcPr>
            <w:tcW w:w="864" w:type="dxa"/>
          </w:tcPr>
          <w:p w14:paraId="271E9AE0"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0‐4</w:t>
            </w:r>
          </w:p>
        </w:tc>
        <w:tc>
          <w:tcPr>
            <w:tcW w:w="629" w:type="dxa"/>
          </w:tcPr>
          <w:p w14:paraId="5C2844A3"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2.6</w:t>
            </w:r>
          </w:p>
        </w:tc>
        <w:tc>
          <w:tcPr>
            <w:tcW w:w="733" w:type="dxa"/>
          </w:tcPr>
          <w:p w14:paraId="0FDE0313" w14:textId="77777777" w:rsidR="002D0AF4" w:rsidRPr="009E4B5D" w:rsidRDefault="002D0AF4">
            <w:pPr>
              <w:pStyle w:val="TableParagraph"/>
              <w:spacing w:before="20" w:line="240" w:lineRule="auto"/>
              <w:ind w:left="372"/>
              <w:rPr>
                <w:rFonts w:asciiTheme="minorHAnsi" w:hAnsiTheme="minorHAnsi" w:cstheme="minorHAnsi"/>
                <w:sz w:val="20"/>
                <w:szCs w:val="20"/>
              </w:rPr>
            </w:pPr>
            <w:r w:rsidRPr="009E4B5D">
              <w:rPr>
                <w:rFonts w:asciiTheme="minorHAnsi" w:hAnsiTheme="minorHAnsi" w:cstheme="minorHAnsi"/>
                <w:sz w:val="20"/>
                <w:szCs w:val="20"/>
              </w:rPr>
              <w:t>2.6</w:t>
            </w:r>
          </w:p>
        </w:tc>
        <w:tc>
          <w:tcPr>
            <w:tcW w:w="644" w:type="dxa"/>
          </w:tcPr>
          <w:p w14:paraId="5328ABEB" w14:textId="77777777" w:rsidR="002D0AF4" w:rsidRPr="009E4B5D" w:rsidRDefault="002D0AF4">
            <w:pPr>
              <w:pStyle w:val="TableParagraph"/>
              <w:spacing w:before="20" w:line="240" w:lineRule="auto"/>
              <w:ind w:left="282"/>
              <w:rPr>
                <w:rFonts w:asciiTheme="minorHAnsi" w:hAnsiTheme="minorHAnsi" w:cstheme="minorHAnsi"/>
                <w:sz w:val="20"/>
                <w:szCs w:val="20"/>
              </w:rPr>
            </w:pPr>
            <w:r w:rsidRPr="009E4B5D">
              <w:rPr>
                <w:rFonts w:asciiTheme="minorHAnsi" w:hAnsiTheme="minorHAnsi" w:cstheme="minorHAnsi"/>
                <w:sz w:val="20"/>
                <w:szCs w:val="20"/>
              </w:rPr>
              <w:t>4.4</w:t>
            </w:r>
          </w:p>
        </w:tc>
        <w:tc>
          <w:tcPr>
            <w:tcW w:w="734" w:type="dxa"/>
          </w:tcPr>
          <w:p w14:paraId="5A58432A"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4.1</w:t>
            </w:r>
          </w:p>
        </w:tc>
        <w:tc>
          <w:tcPr>
            <w:tcW w:w="630" w:type="dxa"/>
          </w:tcPr>
          <w:p w14:paraId="07159893"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7.5</w:t>
            </w:r>
          </w:p>
        </w:tc>
        <w:tc>
          <w:tcPr>
            <w:tcW w:w="769" w:type="dxa"/>
          </w:tcPr>
          <w:p w14:paraId="628AEB9C"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7.5</w:t>
            </w:r>
          </w:p>
        </w:tc>
        <w:tc>
          <w:tcPr>
            <w:tcW w:w="644" w:type="dxa"/>
          </w:tcPr>
          <w:p w14:paraId="067D9FF5"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6.6</w:t>
            </w:r>
          </w:p>
        </w:tc>
        <w:tc>
          <w:tcPr>
            <w:tcW w:w="734" w:type="dxa"/>
          </w:tcPr>
          <w:p w14:paraId="1C6E3D24" w14:textId="77777777" w:rsidR="002D0AF4" w:rsidRPr="009E4B5D" w:rsidRDefault="002D0AF4">
            <w:pPr>
              <w:pStyle w:val="TableParagraph"/>
              <w:spacing w:before="20" w:line="240" w:lineRule="auto"/>
              <w:ind w:left="374"/>
              <w:rPr>
                <w:rFonts w:asciiTheme="minorHAnsi" w:hAnsiTheme="minorHAnsi" w:cstheme="minorHAnsi"/>
                <w:sz w:val="20"/>
                <w:szCs w:val="20"/>
              </w:rPr>
            </w:pPr>
            <w:r w:rsidRPr="009E4B5D">
              <w:rPr>
                <w:rFonts w:asciiTheme="minorHAnsi" w:hAnsiTheme="minorHAnsi" w:cstheme="minorHAnsi"/>
                <w:sz w:val="20"/>
                <w:szCs w:val="20"/>
              </w:rPr>
              <w:t>6.2</w:t>
            </w:r>
          </w:p>
        </w:tc>
        <w:tc>
          <w:tcPr>
            <w:tcW w:w="630" w:type="dxa"/>
          </w:tcPr>
          <w:p w14:paraId="4C2C5E53"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5D2B8498"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6882B54E" w14:textId="77777777" w:rsidTr="002D0AF4">
        <w:trPr>
          <w:trHeight w:val="216"/>
          <w:jc w:val="center"/>
        </w:trPr>
        <w:tc>
          <w:tcPr>
            <w:tcW w:w="864" w:type="dxa"/>
          </w:tcPr>
          <w:p w14:paraId="1861498B"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5‐9</w:t>
            </w:r>
          </w:p>
        </w:tc>
        <w:tc>
          <w:tcPr>
            <w:tcW w:w="629" w:type="dxa"/>
          </w:tcPr>
          <w:p w14:paraId="674F0A6C"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0.8</w:t>
            </w:r>
          </w:p>
        </w:tc>
        <w:tc>
          <w:tcPr>
            <w:tcW w:w="733" w:type="dxa"/>
          </w:tcPr>
          <w:p w14:paraId="5E4FC286" w14:textId="77777777" w:rsidR="002D0AF4" w:rsidRPr="009E4B5D" w:rsidRDefault="002D0AF4">
            <w:pPr>
              <w:pStyle w:val="TableParagraph"/>
              <w:spacing w:before="21" w:line="240" w:lineRule="auto"/>
              <w:ind w:left="372"/>
              <w:rPr>
                <w:rFonts w:asciiTheme="minorHAnsi" w:hAnsiTheme="minorHAnsi" w:cstheme="minorHAnsi"/>
                <w:sz w:val="20"/>
                <w:szCs w:val="20"/>
              </w:rPr>
            </w:pPr>
            <w:r w:rsidRPr="009E4B5D">
              <w:rPr>
                <w:rFonts w:asciiTheme="minorHAnsi" w:hAnsiTheme="minorHAnsi" w:cstheme="minorHAnsi"/>
                <w:sz w:val="20"/>
                <w:szCs w:val="20"/>
              </w:rPr>
              <w:t>0.7</w:t>
            </w:r>
          </w:p>
        </w:tc>
        <w:tc>
          <w:tcPr>
            <w:tcW w:w="644" w:type="dxa"/>
          </w:tcPr>
          <w:p w14:paraId="34E68119"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0.9</w:t>
            </w:r>
          </w:p>
        </w:tc>
        <w:tc>
          <w:tcPr>
            <w:tcW w:w="734" w:type="dxa"/>
          </w:tcPr>
          <w:p w14:paraId="09F35D93"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0.7</w:t>
            </w:r>
          </w:p>
        </w:tc>
        <w:tc>
          <w:tcPr>
            <w:tcW w:w="630" w:type="dxa"/>
          </w:tcPr>
          <w:p w14:paraId="58597A70"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2.2</w:t>
            </w:r>
          </w:p>
        </w:tc>
        <w:tc>
          <w:tcPr>
            <w:tcW w:w="769" w:type="dxa"/>
          </w:tcPr>
          <w:p w14:paraId="7BBAF0B4"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2.2</w:t>
            </w:r>
          </w:p>
        </w:tc>
        <w:tc>
          <w:tcPr>
            <w:tcW w:w="644" w:type="dxa"/>
          </w:tcPr>
          <w:p w14:paraId="4DB1174F"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1.4</w:t>
            </w:r>
          </w:p>
        </w:tc>
        <w:tc>
          <w:tcPr>
            <w:tcW w:w="734" w:type="dxa"/>
          </w:tcPr>
          <w:p w14:paraId="1DD81D86"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1.1</w:t>
            </w:r>
          </w:p>
        </w:tc>
        <w:tc>
          <w:tcPr>
            <w:tcW w:w="630" w:type="dxa"/>
          </w:tcPr>
          <w:p w14:paraId="06F15FC5"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74F3C3FB"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5CF1B812" w14:textId="77777777" w:rsidTr="002D0AF4">
        <w:trPr>
          <w:trHeight w:val="216"/>
          <w:jc w:val="center"/>
        </w:trPr>
        <w:tc>
          <w:tcPr>
            <w:tcW w:w="864" w:type="dxa"/>
          </w:tcPr>
          <w:p w14:paraId="79726DCA"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10‐14</w:t>
            </w:r>
          </w:p>
        </w:tc>
        <w:tc>
          <w:tcPr>
            <w:tcW w:w="629" w:type="dxa"/>
          </w:tcPr>
          <w:p w14:paraId="35EAD346"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0CB7E5B2" w14:textId="77777777" w:rsidR="002D0AF4" w:rsidRPr="009E4B5D" w:rsidRDefault="002D0AF4">
            <w:pPr>
              <w:pStyle w:val="TableParagraph"/>
              <w:spacing w:before="21" w:line="240" w:lineRule="auto"/>
              <w:ind w:left="372"/>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05F39929"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0.0</w:t>
            </w:r>
          </w:p>
        </w:tc>
        <w:tc>
          <w:tcPr>
            <w:tcW w:w="734" w:type="dxa"/>
          </w:tcPr>
          <w:p w14:paraId="6D4775E9"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30" w:type="dxa"/>
          </w:tcPr>
          <w:p w14:paraId="69835870"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6EE4B6FF"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574D4D92"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4" w:type="dxa"/>
          </w:tcPr>
          <w:p w14:paraId="4BA5BA79"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0.0</w:t>
            </w:r>
          </w:p>
        </w:tc>
        <w:tc>
          <w:tcPr>
            <w:tcW w:w="630" w:type="dxa"/>
          </w:tcPr>
          <w:p w14:paraId="2FEF8508"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12CF4BEA"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69714766" w14:textId="77777777" w:rsidTr="002D0AF4">
        <w:trPr>
          <w:trHeight w:val="216"/>
          <w:jc w:val="center"/>
        </w:trPr>
        <w:tc>
          <w:tcPr>
            <w:tcW w:w="864" w:type="dxa"/>
          </w:tcPr>
          <w:p w14:paraId="402F76D0"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15‐19</w:t>
            </w:r>
          </w:p>
        </w:tc>
        <w:tc>
          <w:tcPr>
            <w:tcW w:w="629" w:type="dxa"/>
          </w:tcPr>
          <w:p w14:paraId="77EDCF18"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‐2.0</w:t>
            </w:r>
          </w:p>
        </w:tc>
        <w:tc>
          <w:tcPr>
            <w:tcW w:w="733" w:type="dxa"/>
          </w:tcPr>
          <w:p w14:paraId="792EBB22" w14:textId="77777777" w:rsidR="002D0AF4" w:rsidRPr="009E4B5D" w:rsidRDefault="002D0AF4">
            <w:pPr>
              <w:pStyle w:val="TableParagraph"/>
              <w:spacing w:before="20" w:line="240" w:lineRule="auto"/>
              <w:ind w:left="311"/>
              <w:rPr>
                <w:rFonts w:asciiTheme="minorHAnsi" w:hAnsiTheme="minorHAnsi" w:cstheme="minorHAnsi"/>
                <w:sz w:val="20"/>
                <w:szCs w:val="20"/>
              </w:rPr>
            </w:pPr>
            <w:r w:rsidRPr="009E4B5D">
              <w:rPr>
                <w:rFonts w:asciiTheme="minorHAnsi" w:hAnsiTheme="minorHAnsi" w:cstheme="minorHAnsi"/>
                <w:sz w:val="20"/>
                <w:szCs w:val="20"/>
              </w:rPr>
              <w:t>‐1.5</w:t>
            </w:r>
          </w:p>
        </w:tc>
        <w:tc>
          <w:tcPr>
            <w:tcW w:w="644" w:type="dxa"/>
          </w:tcPr>
          <w:p w14:paraId="10CE0B74" w14:textId="77777777" w:rsidR="002D0AF4" w:rsidRPr="009E4B5D" w:rsidRDefault="002D0AF4">
            <w:pPr>
              <w:pStyle w:val="TableParagraph"/>
              <w:spacing w:before="20" w:line="240" w:lineRule="auto"/>
              <w:ind w:left="221"/>
              <w:rPr>
                <w:rFonts w:asciiTheme="minorHAnsi" w:hAnsiTheme="minorHAnsi" w:cstheme="minorHAnsi"/>
                <w:sz w:val="20"/>
                <w:szCs w:val="20"/>
              </w:rPr>
            </w:pPr>
            <w:r w:rsidRPr="009E4B5D">
              <w:rPr>
                <w:rFonts w:asciiTheme="minorHAnsi" w:hAnsiTheme="minorHAnsi" w:cstheme="minorHAnsi"/>
                <w:sz w:val="20"/>
                <w:szCs w:val="20"/>
              </w:rPr>
              <w:t>‐1.1</w:t>
            </w:r>
          </w:p>
        </w:tc>
        <w:tc>
          <w:tcPr>
            <w:tcW w:w="734" w:type="dxa"/>
          </w:tcPr>
          <w:p w14:paraId="4B9A1D9B"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‐1.0</w:t>
            </w:r>
          </w:p>
        </w:tc>
        <w:tc>
          <w:tcPr>
            <w:tcW w:w="630" w:type="dxa"/>
          </w:tcPr>
          <w:p w14:paraId="726EB38C"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1BEB05D0"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224AAB18"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‐2.0</w:t>
            </w:r>
          </w:p>
        </w:tc>
        <w:tc>
          <w:tcPr>
            <w:tcW w:w="734" w:type="dxa"/>
          </w:tcPr>
          <w:p w14:paraId="259289D8" w14:textId="77777777" w:rsidR="002D0AF4" w:rsidRPr="009E4B5D" w:rsidRDefault="002D0AF4">
            <w:pPr>
              <w:pStyle w:val="TableParagraph"/>
              <w:spacing w:before="20" w:line="240" w:lineRule="auto"/>
              <w:ind w:left="312"/>
              <w:rPr>
                <w:rFonts w:asciiTheme="minorHAnsi" w:hAnsiTheme="minorHAnsi" w:cstheme="minorHAnsi"/>
                <w:sz w:val="20"/>
                <w:szCs w:val="20"/>
              </w:rPr>
            </w:pPr>
            <w:r w:rsidRPr="009E4B5D">
              <w:rPr>
                <w:rFonts w:asciiTheme="minorHAnsi" w:hAnsiTheme="minorHAnsi" w:cstheme="minorHAnsi"/>
                <w:sz w:val="20"/>
                <w:szCs w:val="20"/>
              </w:rPr>
              <w:t>‐1.5</w:t>
            </w:r>
          </w:p>
        </w:tc>
        <w:tc>
          <w:tcPr>
            <w:tcW w:w="630" w:type="dxa"/>
          </w:tcPr>
          <w:p w14:paraId="01BED9F2"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11BBCE6B"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7F57A1FC" w14:textId="77777777" w:rsidTr="002D0AF4">
        <w:trPr>
          <w:trHeight w:val="216"/>
          <w:jc w:val="center"/>
        </w:trPr>
        <w:tc>
          <w:tcPr>
            <w:tcW w:w="864" w:type="dxa"/>
          </w:tcPr>
          <w:p w14:paraId="39CCFBAE"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20‐24</w:t>
            </w:r>
          </w:p>
        </w:tc>
        <w:tc>
          <w:tcPr>
            <w:tcW w:w="629" w:type="dxa"/>
          </w:tcPr>
          <w:p w14:paraId="07E02412"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3CD4828F" w14:textId="77777777" w:rsidR="002D0AF4" w:rsidRPr="009E4B5D" w:rsidRDefault="002D0AF4">
            <w:pPr>
              <w:pStyle w:val="TableParagraph"/>
              <w:spacing w:before="21" w:line="240" w:lineRule="auto"/>
              <w:ind w:left="372"/>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3FA16E62"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4.1</w:t>
            </w:r>
          </w:p>
        </w:tc>
        <w:tc>
          <w:tcPr>
            <w:tcW w:w="734" w:type="dxa"/>
          </w:tcPr>
          <w:p w14:paraId="2F14758D"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30" w:type="dxa"/>
          </w:tcPr>
          <w:p w14:paraId="3EEE74CB"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2.7</w:t>
            </w:r>
          </w:p>
        </w:tc>
        <w:tc>
          <w:tcPr>
            <w:tcW w:w="769" w:type="dxa"/>
          </w:tcPr>
          <w:p w14:paraId="5D037007"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67EDA60A"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4.1</w:t>
            </w:r>
          </w:p>
        </w:tc>
        <w:tc>
          <w:tcPr>
            <w:tcW w:w="734" w:type="dxa"/>
          </w:tcPr>
          <w:p w14:paraId="2307C43F"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2.0</w:t>
            </w:r>
          </w:p>
        </w:tc>
        <w:tc>
          <w:tcPr>
            <w:tcW w:w="630" w:type="dxa"/>
          </w:tcPr>
          <w:p w14:paraId="7C006CF7"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376135E5"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4393D273" w14:textId="77777777" w:rsidTr="002D0AF4">
        <w:trPr>
          <w:trHeight w:val="216"/>
          <w:jc w:val="center"/>
        </w:trPr>
        <w:tc>
          <w:tcPr>
            <w:tcW w:w="864" w:type="dxa"/>
          </w:tcPr>
          <w:p w14:paraId="5FEE3E93"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25‐29</w:t>
            </w:r>
          </w:p>
        </w:tc>
        <w:tc>
          <w:tcPr>
            <w:tcW w:w="629" w:type="dxa"/>
          </w:tcPr>
          <w:p w14:paraId="51E37B52"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1EFEE48A" w14:textId="77777777" w:rsidR="002D0AF4" w:rsidRPr="009E4B5D" w:rsidRDefault="002D0AF4">
            <w:pPr>
              <w:pStyle w:val="TableParagraph"/>
              <w:spacing w:before="21" w:line="240" w:lineRule="auto"/>
              <w:ind w:left="372"/>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33923D41"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9.0</w:t>
            </w:r>
          </w:p>
        </w:tc>
        <w:tc>
          <w:tcPr>
            <w:tcW w:w="734" w:type="dxa"/>
          </w:tcPr>
          <w:p w14:paraId="0C44A628"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30" w:type="dxa"/>
          </w:tcPr>
          <w:p w14:paraId="40A70135"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6.0</w:t>
            </w:r>
          </w:p>
        </w:tc>
        <w:tc>
          <w:tcPr>
            <w:tcW w:w="769" w:type="dxa"/>
          </w:tcPr>
          <w:p w14:paraId="61E61C54"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2.2</w:t>
            </w:r>
          </w:p>
        </w:tc>
        <w:tc>
          <w:tcPr>
            <w:tcW w:w="644" w:type="dxa"/>
          </w:tcPr>
          <w:p w14:paraId="53D9A6B2"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9.0</w:t>
            </w:r>
          </w:p>
        </w:tc>
        <w:tc>
          <w:tcPr>
            <w:tcW w:w="734" w:type="dxa"/>
          </w:tcPr>
          <w:p w14:paraId="5FDCCEE2"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4.5</w:t>
            </w:r>
          </w:p>
        </w:tc>
        <w:tc>
          <w:tcPr>
            <w:tcW w:w="630" w:type="dxa"/>
          </w:tcPr>
          <w:p w14:paraId="34F9943C"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65B89D5B"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1154B7D9" w14:textId="77777777" w:rsidTr="002D0AF4">
        <w:trPr>
          <w:trHeight w:val="216"/>
          <w:jc w:val="center"/>
        </w:trPr>
        <w:tc>
          <w:tcPr>
            <w:tcW w:w="864" w:type="dxa"/>
          </w:tcPr>
          <w:p w14:paraId="18FD4D43"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30‐34</w:t>
            </w:r>
          </w:p>
        </w:tc>
        <w:tc>
          <w:tcPr>
            <w:tcW w:w="629" w:type="dxa"/>
          </w:tcPr>
          <w:p w14:paraId="4889C1C1"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1.5</w:t>
            </w:r>
          </w:p>
        </w:tc>
        <w:tc>
          <w:tcPr>
            <w:tcW w:w="733" w:type="dxa"/>
          </w:tcPr>
          <w:p w14:paraId="67DAEEB7" w14:textId="77777777" w:rsidR="002D0AF4" w:rsidRPr="009E4B5D" w:rsidRDefault="002D0AF4">
            <w:pPr>
              <w:pStyle w:val="TableParagraph"/>
              <w:spacing w:before="20" w:line="240" w:lineRule="auto"/>
              <w:ind w:left="311"/>
              <w:rPr>
                <w:rFonts w:asciiTheme="minorHAnsi" w:hAnsiTheme="minorHAnsi" w:cstheme="minorHAnsi"/>
                <w:sz w:val="20"/>
                <w:szCs w:val="20"/>
              </w:rPr>
            </w:pPr>
            <w:r w:rsidRPr="009E4B5D">
              <w:rPr>
                <w:rFonts w:asciiTheme="minorHAnsi" w:hAnsiTheme="minorHAnsi" w:cstheme="minorHAnsi"/>
                <w:sz w:val="20"/>
                <w:szCs w:val="20"/>
              </w:rPr>
              <w:t>‐1.2</w:t>
            </w:r>
          </w:p>
        </w:tc>
        <w:tc>
          <w:tcPr>
            <w:tcW w:w="644" w:type="dxa"/>
          </w:tcPr>
          <w:p w14:paraId="5504C802" w14:textId="77777777" w:rsidR="002D0AF4" w:rsidRPr="009E4B5D" w:rsidRDefault="002D0AF4">
            <w:pPr>
              <w:pStyle w:val="TableParagraph"/>
              <w:spacing w:before="20" w:line="240" w:lineRule="auto"/>
              <w:ind w:left="282"/>
              <w:rPr>
                <w:rFonts w:asciiTheme="minorHAnsi" w:hAnsiTheme="minorHAnsi" w:cstheme="minorHAnsi"/>
                <w:sz w:val="20"/>
                <w:szCs w:val="20"/>
              </w:rPr>
            </w:pPr>
            <w:r w:rsidRPr="009E4B5D">
              <w:rPr>
                <w:rFonts w:asciiTheme="minorHAnsi" w:hAnsiTheme="minorHAnsi" w:cstheme="minorHAnsi"/>
                <w:sz w:val="20"/>
                <w:szCs w:val="20"/>
              </w:rPr>
              <w:t>6.6</w:t>
            </w:r>
          </w:p>
        </w:tc>
        <w:tc>
          <w:tcPr>
            <w:tcW w:w="734" w:type="dxa"/>
          </w:tcPr>
          <w:p w14:paraId="3379D34A"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‐1.1</w:t>
            </w:r>
          </w:p>
        </w:tc>
        <w:tc>
          <w:tcPr>
            <w:tcW w:w="630" w:type="dxa"/>
          </w:tcPr>
          <w:p w14:paraId="63AB7A33"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4.4</w:t>
            </w:r>
          </w:p>
        </w:tc>
        <w:tc>
          <w:tcPr>
            <w:tcW w:w="769" w:type="dxa"/>
          </w:tcPr>
          <w:p w14:paraId="447BD8D5"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1.6</w:t>
            </w:r>
          </w:p>
        </w:tc>
        <w:tc>
          <w:tcPr>
            <w:tcW w:w="644" w:type="dxa"/>
          </w:tcPr>
          <w:p w14:paraId="5E3A4934"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6.6</w:t>
            </w:r>
          </w:p>
        </w:tc>
        <w:tc>
          <w:tcPr>
            <w:tcW w:w="734" w:type="dxa"/>
          </w:tcPr>
          <w:p w14:paraId="7D174A52" w14:textId="77777777" w:rsidR="002D0AF4" w:rsidRPr="009E4B5D" w:rsidRDefault="002D0AF4">
            <w:pPr>
              <w:pStyle w:val="TableParagraph"/>
              <w:spacing w:before="20" w:line="240" w:lineRule="auto"/>
              <w:ind w:left="374"/>
              <w:rPr>
                <w:rFonts w:asciiTheme="minorHAnsi" w:hAnsiTheme="minorHAnsi" w:cstheme="minorHAnsi"/>
                <w:sz w:val="20"/>
                <w:szCs w:val="20"/>
              </w:rPr>
            </w:pPr>
            <w:r w:rsidRPr="009E4B5D">
              <w:rPr>
                <w:rFonts w:asciiTheme="minorHAnsi" w:hAnsiTheme="minorHAnsi" w:cstheme="minorHAnsi"/>
                <w:sz w:val="20"/>
                <w:szCs w:val="20"/>
              </w:rPr>
              <w:t>3.3</w:t>
            </w:r>
          </w:p>
        </w:tc>
        <w:tc>
          <w:tcPr>
            <w:tcW w:w="630" w:type="dxa"/>
          </w:tcPr>
          <w:p w14:paraId="018B245A"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51FE4E36"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7CB2A2A0" w14:textId="77777777" w:rsidTr="002D0AF4">
        <w:trPr>
          <w:trHeight w:val="216"/>
          <w:jc w:val="center"/>
        </w:trPr>
        <w:tc>
          <w:tcPr>
            <w:tcW w:w="864" w:type="dxa"/>
          </w:tcPr>
          <w:p w14:paraId="7A1DAF55"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35‐39</w:t>
            </w:r>
          </w:p>
        </w:tc>
        <w:tc>
          <w:tcPr>
            <w:tcW w:w="629" w:type="dxa"/>
          </w:tcPr>
          <w:p w14:paraId="5FDC5639"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1.1</w:t>
            </w:r>
          </w:p>
        </w:tc>
        <w:tc>
          <w:tcPr>
            <w:tcW w:w="733" w:type="dxa"/>
          </w:tcPr>
          <w:p w14:paraId="22E4BCC6"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‐1.6</w:t>
            </w:r>
          </w:p>
        </w:tc>
        <w:tc>
          <w:tcPr>
            <w:tcW w:w="644" w:type="dxa"/>
          </w:tcPr>
          <w:p w14:paraId="3C2AB945"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6.8</w:t>
            </w:r>
          </w:p>
        </w:tc>
        <w:tc>
          <w:tcPr>
            <w:tcW w:w="734" w:type="dxa"/>
          </w:tcPr>
          <w:p w14:paraId="4E124E87"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‐1.3</w:t>
            </w:r>
          </w:p>
        </w:tc>
        <w:tc>
          <w:tcPr>
            <w:tcW w:w="630" w:type="dxa"/>
          </w:tcPr>
          <w:p w14:paraId="2F5B6F4E"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4.5</w:t>
            </w:r>
          </w:p>
        </w:tc>
        <w:tc>
          <w:tcPr>
            <w:tcW w:w="769" w:type="dxa"/>
          </w:tcPr>
          <w:p w14:paraId="61C9CA24"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1.7</w:t>
            </w:r>
          </w:p>
        </w:tc>
        <w:tc>
          <w:tcPr>
            <w:tcW w:w="644" w:type="dxa"/>
          </w:tcPr>
          <w:p w14:paraId="155CB9DF"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6.8</w:t>
            </w:r>
          </w:p>
        </w:tc>
        <w:tc>
          <w:tcPr>
            <w:tcW w:w="734" w:type="dxa"/>
          </w:tcPr>
          <w:p w14:paraId="21535DFB"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3.4</w:t>
            </w:r>
          </w:p>
        </w:tc>
        <w:tc>
          <w:tcPr>
            <w:tcW w:w="630" w:type="dxa"/>
          </w:tcPr>
          <w:p w14:paraId="164921FB"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0EA94BB7"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473AE438" w14:textId="77777777" w:rsidTr="002D0AF4">
        <w:trPr>
          <w:trHeight w:val="216"/>
          <w:jc w:val="center"/>
        </w:trPr>
        <w:tc>
          <w:tcPr>
            <w:tcW w:w="864" w:type="dxa"/>
          </w:tcPr>
          <w:p w14:paraId="6C15D513"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40‐44</w:t>
            </w:r>
          </w:p>
        </w:tc>
        <w:tc>
          <w:tcPr>
            <w:tcW w:w="629" w:type="dxa"/>
          </w:tcPr>
          <w:p w14:paraId="1C9C2AF9"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2E2949AE"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‐1.5</w:t>
            </w:r>
          </w:p>
        </w:tc>
        <w:tc>
          <w:tcPr>
            <w:tcW w:w="644" w:type="dxa"/>
          </w:tcPr>
          <w:p w14:paraId="00FC6D09"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5.9</w:t>
            </w:r>
          </w:p>
        </w:tc>
        <w:tc>
          <w:tcPr>
            <w:tcW w:w="734" w:type="dxa"/>
          </w:tcPr>
          <w:p w14:paraId="6EEF970F"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‐1.1</w:t>
            </w:r>
          </w:p>
        </w:tc>
        <w:tc>
          <w:tcPr>
            <w:tcW w:w="630" w:type="dxa"/>
          </w:tcPr>
          <w:p w14:paraId="7882FB68"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4.0</w:t>
            </w:r>
          </w:p>
        </w:tc>
        <w:tc>
          <w:tcPr>
            <w:tcW w:w="769" w:type="dxa"/>
          </w:tcPr>
          <w:p w14:paraId="53F3ABCF"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1.5</w:t>
            </w:r>
          </w:p>
        </w:tc>
        <w:tc>
          <w:tcPr>
            <w:tcW w:w="644" w:type="dxa"/>
          </w:tcPr>
          <w:p w14:paraId="4612F4BF"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5.9</w:t>
            </w:r>
          </w:p>
        </w:tc>
        <w:tc>
          <w:tcPr>
            <w:tcW w:w="734" w:type="dxa"/>
          </w:tcPr>
          <w:p w14:paraId="60442757"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3.0</w:t>
            </w:r>
          </w:p>
        </w:tc>
        <w:tc>
          <w:tcPr>
            <w:tcW w:w="630" w:type="dxa"/>
          </w:tcPr>
          <w:p w14:paraId="31A61A49"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4C4B28A7"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3B93A12D" w14:textId="77777777" w:rsidTr="002D0AF4">
        <w:trPr>
          <w:trHeight w:val="216"/>
          <w:jc w:val="center"/>
        </w:trPr>
        <w:tc>
          <w:tcPr>
            <w:tcW w:w="864" w:type="dxa"/>
          </w:tcPr>
          <w:p w14:paraId="39521781"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45‐49</w:t>
            </w:r>
          </w:p>
        </w:tc>
        <w:tc>
          <w:tcPr>
            <w:tcW w:w="629" w:type="dxa"/>
          </w:tcPr>
          <w:p w14:paraId="1D5C7D91"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0049E504" w14:textId="77777777" w:rsidR="002D0AF4" w:rsidRPr="009E4B5D" w:rsidRDefault="002D0AF4">
            <w:pPr>
              <w:pStyle w:val="TableParagraph"/>
              <w:spacing w:before="20" w:line="240" w:lineRule="auto"/>
              <w:ind w:left="311"/>
              <w:rPr>
                <w:rFonts w:asciiTheme="minorHAnsi" w:hAnsiTheme="minorHAnsi" w:cstheme="minorHAnsi"/>
                <w:sz w:val="20"/>
                <w:szCs w:val="20"/>
              </w:rPr>
            </w:pPr>
            <w:r w:rsidRPr="009E4B5D">
              <w:rPr>
                <w:rFonts w:asciiTheme="minorHAnsi" w:hAnsiTheme="minorHAnsi" w:cstheme="minorHAnsi"/>
                <w:sz w:val="20"/>
                <w:szCs w:val="20"/>
              </w:rPr>
              <w:t>‐1.5</w:t>
            </w:r>
          </w:p>
        </w:tc>
        <w:tc>
          <w:tcPr>
            <w:tcW w:w="644" w:type="dxa"/>
          </w:tcPr>
          <w:p w14:paraId="2DE38CEA" w14:textId="77777777" w:rsidR="002D0AF4" w:rsidRPr="009E4B5D" w:rsidRDefault="002D0AF4">
            <w:pPr>
              <w:pStyle w:val="TableParagraph"/>
              <w:spacing w:before="20" w:line="240" w:lineRule="auto"/>
              <w:ind w:left="282"/>
              <w:rPr>
                <w:rFonts w:asciiTheme="minorHAnsi" w:hAnsiTheme="minorHAnsi" w:cstheme="minorHAnsi"/>
                <w:sz w:val="20"/>
                <w:szCs w:val="20"/>
              </w:rPr>
            </w:pPr>
            <w:r w:rsidRPr="009E4B5D">
              <w:rPr>
                <w:rFonts w:asciiTheme="minorHAnsi" w:hAnsiTheme="minorHAnsi" w:cstheme="minorHAnsi"/>
                <w:sz w:val="20"/>
                <w:szCs w:val="20"/>
              </w:rPr>
              <w:t>6.5</w:t>
            </w:r>
          </w:p>
        </w:tc>
        <w:tc>
          <w:tcPr>
            <w:tcW w:w="734" w:type="dxa"/>
          </w:tcPr>
          <w:p w14:paraId="0DA1CB46"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‐0.6</w:t>
            </w:r>
          </w:p>
        </w:tc>
        <w:tc>
          <w:tcPr>
            <w:tcW w:w="630" w:type="dxa"/>
          </w:tcPr>
          <w:p w14:paraId="12FFEB43"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4.3</w:t>
            </w:r>
          </w:p>
        </w:tc>
        <w:tc>
          <w:tcPr>
            <w:tcW w:w="769" w:type="dxa"/>
          </w:tcPr>
          <w:p w14:paraId="7EF130F8"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1.6</w:t>
            </w:r>
          </w:p>
        </w:tc>
        <w:tc>
          <w:tcPr>
            <w:tcW w:w="644" w:type="dxa"/>
          </w:tcPr>
          <w:p w14:paraId="05F08CD0"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6.5</w:t>
            </w:r>
          </w:p>
        </w:tc>
        <w:tc>
          <w:tcPr>
            <w:tcW w:w="734" w:type="dxa"/>
          </w:tcPr>
          <w:p w14:paraId="7856BEA2" w14:textId="77777777" w:rsidR="002D0AF4" w:rsidRPr="009E4B5D" w:rsidRDefault="002D0AF4">
            <w:pPr>
              <w:pStyle w:val="TableParagraph"/>
              <w:spacing w:before="20" w:line="240" w:lineRule="auto"/>
              <w:ind w:left="374"/>
              <w:rPr>
                <w:rFonts w:asciiTheme="minorHAnsi" w:hAnsiTheme="minorHAnsi" w:cstheme="minorHAnsi"/>
                <w:sz w:val="20"/>
                <w:szCs w:val="20"/>
              </w:rPr>
            </w:pPr>
            <w:r w:rsidRPr="009E4B5D">
              <w:rPr>
                <w:rFonts w:asciiTheme="minorHAnsi" w:hAnsiTheme="minorHAnsi" w:cstheme="minorHAnsi"/>
                <w:sz w:val="20"/>
                <w:szCs w:val="20"/>
              </w:rPr>
              <w:t>3.3</w:t>
            </w:r>
          </w:p>
        </w:tc>
        <w:tc>
          <w:tcPr>
            <w:tcW w:w="630" w:type="dxa"/>
          </w:tcPr>
          <w:p w14:paraId="32DC3A19"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45ADA4A1"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50277028" w14:textId="77777777" w:rsidTr="002D0AF4">
        <w:trPr>
          <w:trHeight w:val="216"/>
          <w:jc w:val="center"/>
        </w:trPr>
        <w:tc>
          <w:tcPr>
            <w:tcW w:w="864" w:type="dxa"/>
          </w:tcPr>
          <w:p w14:paraId="299B2260"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50‐54</w:t>
            </w:r>
          </w:p>
        </w:tc>
        <w:tc>
          <w:tcPr>
            <w:tcW w:w="629" w:type="dxa"/>
          </w:tcPr>
          <w:p w14:paraId="3F828D59"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0E756C52"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‐2.2</w:t>
            </w:r>
          </w:p>
        </w:tc>
        <w:tc>
          <w:tcPr>
            <w:tcW w:w="644" w:type="dxa"/>
          </w:tcPr>
          <w:p w14:paraId="49C94939"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4.8</w:t>
            </w:r>
          </w:p>
        </w:tc>
        <w:tc>
          <w:tcPr>
            <w:tcW w:w="734" w:type="dxa"/>
          </w:tcPr>
          <w:p w14:paraId="4A0AFBD4"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‐0.9</w:t>
            </w:r>
          </w:p>
        </w:tc>
        <w:tc>
          <w:tcPr>
            <w:tcW w:w="630" w:type="dxa"/>
          </w:tcPr>
          <w:p w14:paraId="226BD1FA"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3.2</w:t>
            </w:r>
          </w:p>
        </w:tc>
        <w:tc>
          <w:tcPr>
            <w:tcW w:w="769" w:type="dxa"/>
          </w:tcPr>
          <w:p w14:paraId="1D63351F"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1.2</w:t>
            </w:r>
          </w:p>
        </w:tc>
        <w:tc>
          <w:tcPr>
            <w:tcW w:w="644" w:type="dxa"/>
          </w:tcPr>
          <w:p w14:paraId="01F99CD0"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4.8</w:t>
            </w:r>
          </w:p>
        </w:tc>
        <w:tc>
          <w:tcPr>
            <w:tcW w:w="734" w:type="dxa"/>
          </w:tcPr>
          <w:p w14:paraId="60019407"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2.4</w:t>
            </w:r>
          </w:p>
        </w:tc>
        <w:tc>
          <w:tcPr>
            <w:tcW w:w="630" w:type="dxa"/>
          </w:tcPr>
          <w:p w14:paraId="3798C0CA"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7A28D39B"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7BB5D6C3" w14:textId="77777777" w:rsidTr="002D0AF4">
        <w:trPr>
          <w:trHeight w:val="216"/>
          <w:jc w:val="center"/>
        </w:trPr>
        <w:tc>
          <w:tcPr>
            <w:tcW w:w="864" w:type="dxa"/>
          </w:tcPr>
          <w:p w14:paraId="14067EEF"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55‐59</w:t>
            </w:r>
          </w:p>
        </w:tc>
        <w:tc>
          <w:tcPr>
            <w:tcW w:w="629" w:type="dxa"/>
          </w:tcPr>
          <w:p w14:paraId="5840467A"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34DCA43E"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‐2.5</w:t>
            </w:r>
          </w:p>
        </w:tc>
        <w:tc>
          <w:tcPr>
            <w:tcW w:w="644" w:type="dxa"/>
          </w:tcPr>
          <w:p w14:paraId="0F95A3E9"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2.8</w:t>
            </w:r>
          </w:p>
        </w:tc>
        <w:tc>
          <w:tcPr>
            <w:tcW w:w="734" w:type="dxa"/>
          </w:tcPr>
          <w:p w14:paraId="7ABDDCC2"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‐1.0</w:t>
            </w:r>
          </w:p>
        </w:tc>
        <w:tc>
          <w:tcPr>
            <w:tcW w:w="630" w:type="dxa"/>
          </w:tcPr>
          <w:p w14:paraId="60CB0ABE"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1.9</w:t>
            </w:r>
          </w:p>
        </w:tc>
        <w:tc>
          <w:tcPr>
            <w:tcW w:w="769" w:type="dxa"/>
          </w:tcPr>
          <w:p w14:paraId="6867F60F"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0.7</w:t>
            </w:r>
          </w:p>
        </w:tc>
        <w:tc>
          <w:tcPr>
            <w:tcW w:w="644" w:type="dxa"/>
          </w:tcPr>
          <w:p w14:paraId="775791E2"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2.8</w:t>
            </w:r>
          </w:p>
        </w:tc>
        <w:tc>
          <w:tcPr>
            <w:tcW w:w="734" w:type="dxa"/>
          </w:tcPr>
          <w:p w14:paraId="758495A4"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1.4</w:t>
            </w:r>
          </w:p>
        </w:tc>
        <w:tc>
          <w:tcPr>
            <w:tcW w:w="630" w:type="dxa"/>
          </w:tcPr>
          <w:p w14:paraId="7A6DAF3C"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5CE877F9"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0CE5AB55" w14:textId="77777777" w:rsidTr="002D0AF4">
        <w:trPr>
          <w:trHeight w:val="216"/>
          <w:jc w:val="center"/>
        </w:trPr>
        <w:tc>
          <w:tcPr>
            <w:tcW w:w="864" w:type="dxa"/>
          </w:tcPr>
          <w:p w14:paraId="09FD02A9"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60‐64</w:t>
            </w:r>
          </w:p>
        </w:tc>
        <w:tc>
          <w:tcPr>
            <w:tcW w:w="629" w:type="dxa"/>
          </w:tcPr>
          <w:p w14:paraId="4A5BBEC6"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3CB2804E" w14:textId="77777777" w:rsidR="002D0AF4" w:rsidRPr="009E4B5D" w:rsidRDefault="002D0AF4">
            <w:pPr>
              <w:pStyle w:val="TableParagraph"/>
              <w:spacing w:before="20" w:line="240" w:lineRule="auto"/>
              <w:ind w:left="311"/>
              <w:rPr>
                <w:rFonts w:asciiTheme="minorHAnsi" w:hAnsiTheme="minorHAnsi" w:cstheme="minorHAnsi"/>
                <w:sz w:val="20"/>
                <w:szCs w:val="20"/>
              </w:rPr>
            </w:pPr>
            <w:r w:rsidRPr="009E4B5D">
              <w:rPr>
                <w:rFonts w:asciiTheme="minorHAnsi" w:hAnsiTheme="minorHAnsi" w:cstheme="minorHAnsi"/>
                <w:sz w:val="20"/>
                <w:szCs w:val="20"/>
              </w:rPr>
              <w:t>‐3.3</w:t>
            </w:r>
          </w:p>
        </w:tc>
        <w:tc>
          <w:tcPr>
            <w:tcW w:w="644" w:type="dxa"/>
          </w:tcPr>
          <w:p w14:paraId="26F10A07" w14:textId="77777777" w:rsidR="002D0AF4" w:rsidRPr="009E4B5D" w:rsidRDefault="002D0AF4">
            <w:pPr>
              <w:pStyle w:val="TableParagraph"/>
              <w:spacing w:before="20" w:line="240" w:lineRule="auto"/>
              <w:ind w:left="282"/>
              <w:rPr>
                <w:rFonts w:asciiTheme="minorHAnsi" w:hAnsiTheme="minorHAnsi" w:cstheme="minorHAnsi"/>
                <w:sz w:val="20"/>
                <w:szCs w:val="20"/>
              </w:rPr>
            </w:pPr>
            <w:r w:rsidRPr="009E4B5D">
              <w:rPr>
                <w:rFonts w:asciiTheme="minorHAnsi" w:hAnsiTheme="minorHAnsi" w:cstheme="minorHAnsi"/>
                <w:sz w:val="20"/>
                <w:szCs w:val="20"/>
              </w:rPr>
              <w:t>0.0</w:t>
            </w:r>
          </w:p>
        </w:tc>
        <w:tc>
          <w:tcPr>
            <w:tcW w:w="734" w:type="dxa"/>
          </w:tcPr>
          <w:p w14:paraId="081A7248"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‐1.2</w:t>
            </w:r>
          </w:p>
        </w:tc>
        <w:tc>
          <w:tcPr>
            <w:tcW w:w="630" w:type="dxa"/>
          </w:tcPr>
          <w:p w14:paraId="799EEF6C"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6153F612"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6D1409D8"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4" w:type="dxa"/>
          </w:tcPr>
          <w:p w14:paraId="34CAA698" w14:textId="77777777" w:rsidR="002D0AF4" w:rsidRPr="009E4B5D" w:rsidRDefault="002D0AF4">
            <w:pPr>
              <w:pStyle w:val="TableParagraph"/>
              <w:spacing w:before="20" w:line="240" w:lineRule="auto"/>
              <w:ind w:left="374"/>
              <w:rPr>
                <w:rFonts w:asciiTheme="minorHAnsi" w:hAnsiTheme="minorHAnsi" w:cstheme="minorHAnsi"/>
                <w:sz w:val="20"/>
                <w:szCs w:val="20"/>
              </w:rPr>
            </w:pPr>
            <w:r w:rsidRPr="009E4B5D">
              <w:rPr>
                <w:rFonts w:asciiTheme="minorHAnsi" w:hAnsiTheme="minorHAnsi" w:cstheme="minorHAnsi"/>
                <w:sz w:val="20"/>
                <w:szCs w:val="20"/>
              </w:rPr>
              <w:t>0.0</w:t>
            </w:r>
          </w:p>
        </w:tc>
        <w:tc>
          <w:tcPr>
            <w:tcW w:w="630" w:type="dxa"/>
          </w:tcPr>
          <w:p w14:paraId="5D65EA43"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29D8EC66"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4700411E" w14:textId="77777777" w:rsidTr="002D0AF4">
        <w:trPr>
          <w:trHeight w:val="216"/>
          <w:jc w:val="center"/>
        </w:trPr>
        <w:tc>
          <w:tcPr>
            <w:tcW w:w="864" w:type="dxa"/>
          </w:tcPr>
          <w:p w14:paraId="61EAA6E1"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65‐69</w:t>
            </w:r>
          </w:p>
        </w:tc>
        <w:tc>
          <w:tcPr>
            <w:tcW w:w="629" w:type="dxa"/>
          </w:tcPr>
          <w:p w14:paraId="0210FF20"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61182BFD"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‐2.7</w:t>
            </w:r>
          </w:p>
        </w:tc>
        <w:tc>
          <w:tcPr>
            <w:tcW w:w="644" w:type="dxa"/>
          </w:tcPr>
          <w:p w14:paraId="775C800C"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1.8</w:t>
            </w:r>
          </w:p>
        </w:tc>
        <w:tc>
          <w:tcPr>
            <w:tcW w:w="734" w:type="dxa"/>
          </w:tcPr>
          <w:p w14:paraId="32A935DC"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‐1.3</w:t>
            </w:r>
          </w:p>
        </w:tc>
        <w:tc>
          <w:tcPr>
            <w:tcW w:w="630" w:type="dxa"/>
          </w:tcPr>
          <w:p w14:paraId="2084092C"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0460A512"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0AA94CFA"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1.8</w:t>
            </w:r>
          </w:p>
        </w:tc>
        <w:tc>
          <w:tcPr>
            <w:tcW w:w="734" w:type="dxa"/>
          </w:tcPr>
          <w:p w14:paraId="1BFAD775"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0.9</w:t>
            </w:r>
          </w:p>
        </w:tc>
        <w:tc>
          <w:tcPr>
            <w:tcW w:w="630" w:type="dxa"/>
          </w:tcPr>
          <w:p w14:paraId="012865AB"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05D11383"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7CA96E37" w14:textId="77777777" w:rsidTr="002D0AF4">
        <w:trPr>
          <w:trHeight w:val="216"/>
          <w:jc w:val="center"/>
        </w:trPr>
        <w:tc>
          <w:tcPr>
            <w:tcW w:w="864" w:type="dxa"/>
          </w:tcPr>
          <w:p w14:paraId="6FCF0698"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70‐74</w:t>
            </w:r>
          </w:p>
        </w:tc>
        <w:tc>
          <w:tcPr>
            <w:tcW w:w="629" w:type="dxa"/>
          </w:tcPr>
          <w:p w14:paraId="743CE83B"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5FA618BE"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‐1.3</w:t>
            </w:r>
          </w:p>
        </w:tc>
        <w:tc>
          <w:tcPr>
            <w:tcW w:w="644" w:type="dxa"/>
          </w:tcPr>
          <w:p w14:paraId="02100DDD"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2.8</w:t>
            </w:r>
          </w:p>
        </w:tc>
        <w:tc>
          <w:tcPr>
            <w:tcW w:w="734" w:type="dxa"/>
          </w:tcPr>
          <w:p w14:paraId="3CF08CC9"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‐0.9</w:t>
            </w:r>
          </w:p>
        </w:tc>
        <w:tc>
          <w:tcPr>
            <w:tcW w:w="630" w:type="dxa"/>
          </w:tcPr>
          <w:p w14:paraId="7355C905"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3D0DB908"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52803741"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2.8</w:t>
            </w:r>
          </w:p>
        </w:tc>
        <w:tc>
          <w:tcPr>
            <w:tcW w:w="734" w:type="dxa"/>
          </w:tcPr>
          <w:p w14:paraId="1BD4A02B"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1.4</w:t>
            </w:r>
          </w:p>
        </w:tc>
        <w:tc>
          <w:tcPr>
            <w:tcW w:w="630" w:type="dxa"/>
          </w:tcPr>
          <w:p w14:paraId="47114625"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7CBCDFF1"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5E9A1A5F" w14:textId="77777777" w:rsidTr="002D0AF4">
        <w:trPr>
          <w:trHeight w:val="216"/>
          <w:jc w:val="center"/>
        </w:trPr>
        <w:tc>
          <w:tcPr>
            <w:tcW w:w="864" w:type="dxa"/>
          </w:tcPr>
          <w:p w14:paraId="0AF63B9B"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75‐79</w:t>
            </w:r>
          </w:p>
        </w:tc>
        <w:tc>
          <w:tcPr>
            <w:tcW w:w="629" w:type="dxa"/>
          </w:tcPr>
          <w:p w14:paraId="23595418" w14:textId="77777777" w:rsidR="002D0AF4" w:rsidRPr="009E4B5D" w:rsidRDefault="002D0AF4">
            <w:pPr>
              <w:pStyle w:val="TableParagraph"/>
              <w:spacing w:before="20"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34FBEBB2" w14:textId="77777777" w:rsidR="002D0AF4" w:rsidRPr="009E4B5D" w:rsidRDefault="002D0AF4">
            <w:pPr>
              <w:pStyle w:val="TableParagraph"/>
              <w:spacing w:before="20" w:line="240" w:lineRule="auto"/>
              <w:ind w:left="311"/>
              <w:rPr>
                <w:rFonts w:asciiTheme="minorHAnsi" w:hAnsiTheme="minorHAnsi" w:cstheme="minorHAnsi"/>
                <w:sz w:val="20"/>
                <w:szCs w:val="20"/>
              </w:rPr>
            </w:pPr>
            <w:r w:rsidRPr="009E4B5D">
              <w:rPr>
                <w:rFonts w:asciiTheme="minorHAnsi" w:hAnsiTheme="minorHAnsi" w:cstheme="minorHAnsi"/>
                <w:sz w:val="20"/>
                <w:szCs w:val="20"/>
              </w:rPr>
              <w:t>‐1.5</w:t>
            </w:r>
          </w:p>
        </w:tc>
        <w:tc>
          <w:tcPr>
            <w:tcW w:w="644" w:type="dxa"/>
          </w:tcPr>
          <w:p w14:paraId="3F8DD060" w14:textId="77777777" w:rsidR="002D0AF4" w:rsidRPr="009E4B5D" w:rsidRDefault="002D0AF4">
            <w:pPr>
              <w:pStyle w:val="TableParagraph"/>
              <w:spacing w:before="20" w:line="240" w:lineRule="auto"/>
              <w:ind w:left="221"/>
              <w:rPr>
                <w:rFonts w:asciiTheme="minorHAnsi" w:hAnsiTheme="minorHAnsi" w:cstheme="minorHAnsi"/>
                <w:sz w:val="20"/>
                <w:szCs w:val="20"/>
              </w:rPr>
            </w:pPr>
            <w:r w:rsidRPr="009E4B5D">
              <w:rPr>
                <w:rFonts w:asciiTheme="minorHAnsi" w:hAnsiTheme="minorHAnsi" w:cstheme="minorHAnsi"/>
                <w:sz w:val="20"/>
                <w:szCs w:val="20"/>
              </w:rPr>
              <w:t>‐1.6</w:t>
            </w:r>
          </w:p>
        </w:tc>
        <w:tc>
          <w:tcPr>
            <w:tcW w:w="734" w:type="dxa"/>
          </w:tcPr>
          <w:p w14:paraId="3E7FBC01"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‐1.1</w:t>
            </w:r>
          </w:p>
        </w:tc>
        <w:tc>
          <w:tcPr>
            <w:tcW w:w="630" w:type="dxa"/>
          </w:tcPr>
          <w:p w14:paraId="455C56FE" w14:textId="77777777" w:rsidR="002D0AF4" w:rsidRPr="009E4B5D" w:rsidRDefault="002D0AF4">
            <w:pPr>
              <w:pStyle w:val="TableParagraph"/>
              <w:spacing w:before="20"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028225F2"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55F655F5" w14:textId="77777777" w:rsidR="002D0AF4" w:rsidRPr="009E4B5D" w:rsidRDefault="002D0AF4">
            <w:pPr>
              <w:pStyle w:val="TableParagraph"/>
              <w:spacing w:before="20"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‐1.6</w:t>
            </w:r>
          </w:p>
        </w:tc>
        <w:tc>
          <w:tcPr>
            <w:tcW w:w="734" w:type="dxa"/>
          </w:tcPr>
          <w:p w14:paraId="664C75D1" w14:textId="77777777" w:rsidR="002D0AF4" w:rsidRPr="009E4B5D" w:rsidRDefault="002D0AF4">
            <w:pPr>
              <w:pStyle w:val="TableParagraph"/>
              <w:spacing w:before="20" w:line="240" w:lineRule="auto"/>
              <w:ind w:left="312"/>
              <w:rPr>
                <w:rFonts w:asciiTheme="minorHAnsi" w:hAnsiTheme="minorHAnsi" w:cstheme="minorHAnsi"/>
                <w:sz w:val="20"/>
                <w:szCs w:val="20"/>
              </w:rPr>
            </w:pPr>
            <w:r w:rsidRPr="009E4B5D">
              <w:rPr>
                <w:rFonts w:asciiTheme="minorHAnsi" w:hAnsiTheme="minorHAnsi" w:cstheme="minorHAnsi"/>
                <w:sz w:val="20"/>
                <w:szCs w:val="20"/>
              </w:rPr>
              <w:t>‐0.8</w:t>
            </w:r>
          </w:p>
        </w:tc>
        <w:tc>
          <w:tcPr>
            <w:tcW w:w="630" w:type="dxa"/>
          </w:tcPr>
          <w:p w14:paraId="1E50AD4B" w14:textId="77777777" w:rsidR="002D0AF4" w:rsidRPr="009E4B5D" w:rsidRDefault="002D0AF4">
            <w:pPr>
              <w:pStyle w:val="TableParagraph"/>
              <w:spacing w:before="20"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1814CBF9" w14:textId="77777777" w:rsidR="002D0AF4" w:rsidRPr="009E4B5D" w:rsidRDefault="002D0AF4">
            <w:pPr>
              <w:pStyle w:val="TableParagraph"/>
              <w:spacing w:before="20"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297C9084" w14:textId="77777777" w:rsidTr="002D0AF4">
        <w:trPr>
          <w:trHeight w:val="216"/>
          <w:jc w:val="center"/>
        </w:trPr>
        <w:tc>
          <w:tcPr>
            <w:tcW w:w="864" w:type="dxa"/>
          </w:tcPr>
          <w:p w14:paraId="58F28AAC" w14:textId="77777777" w:rsidR="002D0AF4" w:rsidRPr="009E4B5D" w:rsidRDefault="002D0AF4">
            <w:pPr>
              <w:pStyle w:val="TableParagraph"/>
              <w:spacing w:line="268" w:lineRule="exact"/>
              <w:ind w:left="107"/>
              <w:rPr>
                <w:rFonts w:asciiTheme="minorHAnsi" w:hAnsiTheme="minorHAnsi" w:cstheme="minorHAnsi"/>
                <w:sz w:val="20"/>
                <w:szCs w:val="20"/>
              </w:rPr>
            </w:pPr>
            <w:r w:rsidRPr="009E4B5D">
              <w:rPr>
                <w:rFonts w:asciiTheme="minorHAnsi" w:hAnsiTheme="minorHAnsi" w:cstheme="minorHAnsi"/>
                <w:sz w:val="20"/>
                <w:szCs w:val="20"/>
              </w:rPr>
              <w:t>80‐84</w:t>
            </w:r>
          </w:p>
        </w:tc>
        <w:tc>
          <w:tcPr>
            <w:tcW w:w="629" w:type="dxa"/>
          </w:tcPr>
          <w:p w14:paraId="6BBED25B"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1298E027" w14:textId="77777777" w:rsidR="002D0AF4" w:rsidRPr="009E4B5D" w:rsidRDefault="002D0AF4">
            <w:pPr>
              <w:pStyle w:val="TableParagraph"/>
              <w:spacing w:before="21" w:line="240" w:lineRule="auto"/>
              <w:ind w:left="311"/>
              <w:rPr>
                <w:rFonts w:asciiTheme="minorHAnsi" w:hAnsiTheme="minorHAnsi" w:cstheme="minorHAnsi"/>
                <w:sz w:val="20"/>
                <w:szCs w:val="20"/>
              </w:rPr>
            </w:pPr>
            <w:r w:rsidRPr="009E4B5D">
              <w:rPr>
                <w:rFonts w:asciiTheme="minorHAnsi" w:hAnsiTheme="minorHAnsi" w:cstheme="minorHAnsi"/>
                <w:sz w:val="20"/>
                <w:szCs w:val="20"/>
              </w:rPr>
              <w:t>‐1.6</w:t>
            </w:r>
          </w:p>
        </w:tc>
        <w:tc>
          <w:tcPr>
            <w:tcW w:w="644" w:type="dxa"/>
          </w:tcPr>
          <w:p w14:paraId="0DDBEBA6" w14:textId="77777777" w:rsidR="002D0AF4" w:rsidRPr="009E4B5D" w:rsidRDefault="002D0AF4">
            <w:pPr>
              <w:pStyle w:val="TableParagraph"/>
              <w:spacing w:before="21" w:line="240" w:lineRule="auto"/>
              <w:ind w:left="221"/>
              <w:rPr>
                <w:rFonts w:asciiTheme="minorHAnsi" w:hAnsiTheme="minorHAnsi" w:cstheme="minorHAnsi"/>
                <w:sz w:val="20"/>
                <w:szCs w:val="20"/>
              </w:rPr>
            </w:pPr>
            <w:r w:rsidRPr="009E4B5D">
              <w:rPr>
                <w:rFonts w:asciiTheme="minorHAnsi" w:hAnsiTheme="minorHAnsi" w:cstheme="minorHAnsi"/>
                <w:sz w:val="20"/>
                <w:szCs w:val="20"/>
              </w:rPr>
              <w:t>‐1.6</w:t>
            </w:r>
          </w:p>
        </w:tc>
        <w:tc>
          <w:tcPr>
            <w:tcW w:w="734" w:type="dxa"/>
          </w:tcPr>
          <w:p w14:paraId="48EBEA9D"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‐1.1</w:t>
            </w:r>
          </w:p>
        </w:tc>
        <w:tc>
          <w:tcPr>
            <w:tcW w:w="630" w:type="dxa"/>
          </w:tcPr>
          <w:p w14:paraId="1D94626D"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6090BDD2"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2BCF1368"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‐1.6</w:t>
            </w:r>
          </w:p>
        </w:tc>
        <w:tc>
          <w:tcPr>
            <w:tcW w:w="734" w:type="dxa"/>
          </w:tcPr>
          <w:p w14:paraId="422848C2" w14:textId="77777777" w:rsidR="002D0AF4" w:rsidRPr="009E4B5D" w:rsidRDefault="002D0AF4">
            <w:pPr>
              <w:pStyle w:val="TableParagraph"/>
              <w:spacing w:before="21" w:line="240" w:lineRule="auto"/>
              <w:ind w:left="312"/>
              <w:rPr>
                <w:rFonts w:asciiTheme="minorHAnsi" w:hAnsiTheme="minorHAnsi" w:cstheme="minorHAnsi"/>
                <w:sz w:val="20"/>
                <w:szCs w:val="20"/>
              </w:rPr>
            </w:pPr>
            <w:r w:rsidRPr="009E4B5D">
              <w:rPr>
                <w:rFonts w:asciiTheme="minorHAnsi" w:hAnsiTheme="minorHAnsi" w:cstheme="minorHAnsi"/>
                <w:sz w:val="20"/>
                <w:szCs w:val="20"/>
              </w:rPr>
              <w:t>‐0.8</w:t>
            </w:r>
          </w:p>
        </w:tc>
        <w:tc>
          <w:tcPr>
            <w:tcW w:w="630" w:type="dxa"/>
          </w:tcPr>
          <w:p w14:paraId="1E7C1B5C"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1A326CF2"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r w:rsidR="002D0AF4" w:rsidRPr="009E4B5D" w14:paraId="535D8A78" w14:textId="77777777" w:rsidTr="002D0AF4">
        <w:trPr>
          <w:trHeight w:val="216"/>
          <w:jc w:val="center"/>
        </w:trPr>
        <w:tc>
          <w:tcPr>
            <w:tcW w:w="864" w:type="dxa"/>
          </w:tcPr>
          <w:p w14:paraId="2AC0D133" w14:textId="77777777" w:rsidR="002D0AF4" w:rsidRPr="009E4B5D" w:rsidRDefault="002D0AF4">
            <w:pPr>
              <w:pStyle w:val="TableParagraph"/>
              <w:spacing w:line="269" w:lineRule="exact"/>
              <w:ind w:left="107"/>
              <w:rPr>
                <w:rFonts w:asciiTheme="minorHAnsi" w:hAnsiTheme="minorHAnsi" w:cstheme="minorHAnsi"/>
                <w:sz w:val="20"/>
                <w:szCs w:val="20"/>
              </w:rPr>
            </w:pPr>
            <w:r w:rsidRPr="009E4B5D">
              <w:rPr>
                <w:rFonts w:asciiTheme="minorHAnsi" w:hAnsiTheme="minorHAnsi" w:cstheme="minorHAnsi"/>
                <w:sz w:val="20"/>
                <w:szCs w:val="20"/>
              </w:rPr>
              <w:t>85 +</w:t>
            </w:r>
          </w:p>
        </w:tc>
        <w:tc>
          <w:tcPr>
            <w:tcW w:w="629" w:type="dxa"/>
          </w:tcPr>
          <w:p w14:paraId="422662AD" w14:textId="77777777" w:rsidR="002D0AF4" w:rsidRPr="009E4B5D" w:rsidRDefault="002D0AF4">
            <w:pPr>
              <w:pStyle w:val="TableParagraph"/>
              <w:spacing w:before="21" w:line="240" w:lineRule="auto"/>
              <w:ind w:right="97"/>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33" w:type="dxa"/>
          </w:tcPr>
          <w:p w14:paraId="55A455D2" w14:textId="77777777" w:rsidR="002D0AF4" w:rsidRPr="009E4B5D" w:rsidRDefault="002D0AF4">
            <w:pPr>
              <w:pStyle w:val="TableParagraph"/>
              <w:spacing w:before="21" w:line="240" w:lineRule="auto"/>
              <w:ind w:left="372"/>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1C7D445D" w14:textId="77777777" w:rsidR="002D0AF4" w:rsidRPr="009E4B5D" w:rsidRDefault="002D0AF4">
            <w:pPr>
              <w:pStyle w:val="TableParagraph"/>
              <w:spacing w:before="21" w:line="240" w:lineRule="auto"/>
              <w:ind w:left="282"/>
              <w:rPr>
                <w:rFonts w:asciiTheme="minorHAnsi" w:hAnsiTheme="minorHAnsi" w:cstheme="minorHAnsi"/>
                <w:sz w:val="20"/>
                <w:szCs w:val="20"/>
              </w:rPr>
            </w:pPr>
            <w:r w:rsidRPr="009E4B5D">
              <w:rPr>
                <w:rFonts w:asciiTheme="minorHAnsi" w:hAnsiTheme="minorHAnsi" w:cstheme="minorHAnsi"/>
                <w:sz w:val="20"/>
                <w:szCs w:val="20"/>
              </w:rPr>
              <w:t>2.3</w:t>
            </w:r>
          </w:p>
        </w:tc>
        <w:tc>
          <w:tcPr>
            <w:tcW w:w="734" w:type="dxa"/>
          </w:tcPr>
          <w:p w14:paraId="0CB46CEB"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3.1</w:t>
            </w:r>
          </w:p>
        </w:tc>
        <w:tc>
          <w:tcPr>
            <w:tcW w:w="630" w:type="dxa"/>
          </w:tcPr>
          <w:p w14:paraId="00C331A4" w14:textId="77777777" w:rsidR="002D0AF4" w:rsidRPr="009E4B5D" w:rsidRDefault="002D0AF4">
            <w:pPr>
              <w:pStyle w:val="TableParagraph"/>
              <w:spacing w:before="21" w:line="240" w:lineRule="auto"/>
              <w:ind w:left="269"/>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5B5411E1"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644" w:type="dxa"/>
          </w:tcPr>
          <w:p w14:paraId="433ED282" w14:textId="77777777" w:rsidR="002D0AF4" w:rsidRPr="009E4B5D" w:rsidRDefault="002D0AF4">
            <w:pPr>
              <w:pStyle w:val="TableParagraph"/>
              <w:spacing w:before="21" w:line="240" w:lineRule="auto"/>
              <w:ind w:right="94"/>
              <w:jc w:val="right"/>
              <w:rPr>
                <w:rFonts w:asciiTheme="minorHAnsi" w:hAnsiTheme="minorHAnsi" w:cstheme="minorHAnsi"/>
                <w:sz w:val="20"/>
                <w:szCs w:val="20"/>
              </w:rPr>
            </w:pPr>
            <w:r w:rsidRPr="009E4B5D">
              <w:rPr>
                <w:rFonts w:asciiTheme="minorHAnsi" w:hAnsiTheme="minorHAnsi" w:cstheme="minorHAnsi"/>
                <w:sz w:val="20"/>
                <w:szCs w:val="20"/>
              </w:rPr>
              <w:t>2.3</w:t>
            </w:r>
          </w:p>
        </w:tc>
        <w:tc>
          <w:tcPr>
            <w:tcW w:w="734" w:type="dxa"/>
          </w:tcPr>
          <w:p w14:paraId="5C1EAE80" w14:textId="77777777" w:rsidR="002D0AF4" w:rsidRPr="009E4B5D" w:rsidRDefault="002D0AF4">
            <w:pPr>
              <w:pStyle w:val="TableParagraph"/>
              <w:spacing w:before="21" w:line="240" w:lineRule="auto"/>
              <w:ind w:left="374"/>
              <w:rPr>
                <w:rFonts w:asciiTheme="minorHAnsi" w:hAnsiTheme="minorHAnsi" w:cstheme="minorHAnsi"/>
                <w:sz w:val="20"/>
                <w:szCs w:val="20"/>
              </w:rPr>
            </w:pPr>
            <w:r w:rsidRPr="009E4B5D">
              <w:rPr>
                <w:rFonts w:asciiTheme="minorHAnsi" w:hAnsiTheme="minorHAnsi" w:cstheme="minorHAnsi"/>
                <w:sz w:val="20"/>
                <w:szCs w:val="20"/>
              </w:rPr>
              <w:t>1.2</w:t>
            </w:r>
          </w:p>
        </w:tc>
        <w:tc>
          <w:tcPr>
            <w:tcW w:w="630" w:type="dxa"/>
          </w:tcPr>
          <w:p w14:paraId="20194635" w14:textId="77777777" w:rsidR="002D0AF4" w:rsidRPr="009E4B5D" w:rsidRDefault="002D0AF4">
            <w:pPr>
              <w:pStyle w:val="TableParagraph"/>
              <w:spacing w:before="21" w:line="240" w:lineRule="auto"/>
              <w:ind w:right="93"/>
              <w:jc w:val="right"/>
              <w:rPr>
                <w:rFonts w:asciiTheme="minorHAnsi" w:hAnsiTheme="minorHAnsi" w:cstheme="minorHAnsi"/>
                <w:sz w:val="20"/>
                <w:szCs w:val="20"/>
              </w:rPr>
            </w:pPr>
            <w:r w:rsidRPr="009E4B5D">
              <w:rPr>
                <w:rFonts w:asciiTheme="minorHAnsi" w:hAnsiTheme="minorHAnsi" w:cstheme="minorHAnsi"/>
                <w:sz w:val="20"/>
                <w:szCs w:val="20"/>
              </w:rPr>
              <w:t>0.0</w:t>
            </w:r>
          </w:p>
        </w:tc>
        <w:tc>
          <w:tcPr>
            <w:tcW w:w="769" w:type="dxa"/>
          </w:tcPr>
          <w:p w14:paraId="04A733B4" w14:textId="77777777" w:rsidR="002D0AF4" w:rsidRPr="009E4B5D" w:rsidRDefault="002D0AF4">
            <w:pPr>
              <w:pStyle w:val="TableParagraph"/>
              <w:spacing w:before="21" w:line="240" w:lineRule="auto"/>
              <w:ind w:right="92"/>
              <w:jc w:val="right"/>
              <w:rPr>
                <w:rFonts w:asciiTheme="minorHAnsi" w:hAnsiTheme="minorHAnsi" w:cstheme="minorHAnsi"/>
                <w:sz w:val="20"/>
                <w:szCs w:val="20"/>
              </w:rPr>
            </w:pPr>
            <w:r w:rsidRPr="009E4B5D">
              <w:rPr>
                <w:rFonts w:asciiTheme="minorHAnsi" w:hAnsiTheme="minorHAnsi" w:cstheme="minorHAnsi"/>
                <w:sz w:val="20"/>
                <w:szCs w:val="20"/>
              </w:rPr>
              <w:t>0.0</w:t>
            </w:r>
          </w:p>
        </w:tc>
      </w:tr>
    </w:tbl>
    <w:p w14:paraId="293C88D7" w14:textId="6FADD1CD" w:rsidR="009E4B5D" w:rsidRDefault="009E4B5D"/>
    <w:p w14:paraId="7A56A12D" w14:textId="77777777" w:rsidR="009E4B5D" w:rsidRDefault="009E4B5D"/>
    <w:p w14:paraId="2362E74E" w14:textId="77777777" w:rsidR="00CC4BF6" w:rsidRDefault="00CC4BF6" w:rsidP="00CC4BF6">
      <w:pPr>
        <w:pStyle w:val="Heading4"/>
        <w:sectPr w:rsidR="00CC4BF6" w:rsidSect="00E263B0">
          <w:footerReference w:type="default" r:id="rId19"/>
          <w:pgSz w:w="12240" w:h="15840"/>
          <w:pgMar w:top="1440" w:right="1440" w:bottom="1440" w:left="1440" w:header="720" w:footer="720" w:gutter="0"/>
          <w:pgNumType w:start="1"/>
          <w:cols w:space="720"/>
          <w:docGrid w:linePitch="360"/>
        </w:sectPr>
      </w:pPr>
    </w:p>
    <w:p w14:paraId="42BCD16B" w14:textId="2A31FBE4" w:rsidR="00CC4BF6" w:rsidRDefault="00CC4BF6" w:rsidP="00CC4BF6">
      <w:pPr>
        <w:pStyle w:val="Heading4"/>
      </w:pPr>
      <w:r>
        <w:lastRenderedPageBreak/>
        <w:t>Appendix 2: Adjustments to Race/Ethnic Classification of Mortality Data</w:t>
      </w:r>
    </w:p>
    <w:p w14:paraId="60BADF72" w14:textId="5D2A643A" w:rsidR="00CC4BF6" w:rsidRDefault="00E80E6C" w:rsidP="00CC4BF6">
      <w:pPr>
        <w:spacing w:before="90"/>
        <w:rPr>
          <w:rFonts w:cstheme="minorHAnsi"/>
          <w:szCs w:val="20"/>
        </w:rPr>
      </w:pPr>
      <w:r>
        <w:rPr>
          <w:rFonts w:cstheme="minorHAnsi"/>
          <w:szCs w:val="20"/>
        </w:rPr>
        <w:t xml:space="preserve">This appendix shows the race/ethnic classification ratios we applied to adjust death data for misclassifications. </w:t>
      </w:r>
      <w:r w:rsidR="006B1528">
        <w:rPr>
          <w:rFonts w:cstheme="minorHAnsi"/>
          <w:szCs w:val="20"/>
        </w:rPr>
        <w:t>We derived these values by comparing mortality rates constructed using our initial unadjusted death counts by age, sex, race, and Hispanic origin to corresponding mortality rates published in the 2019 life table</w:t>
      </w:r>
      <w:r w:rsidR="00C04CD6">
        <w:rPr>
          <w:rFonts w:cstheme="minorHAnsi"/>
          <w:szCs w:val="20"/>
        </w:rPr>
        <w:t>, which were adjusted for race/ethnic misclassification</w:t>
      </w:r>
      <w:r w:rsidR="006B1528">
        <w:rPr>
          <w:rFonts w:cstheme="minorHAnsi"/>
          <w:szCs w:val="20"/>
        </w:rPr>
        <w:t xml:space="preserve"> (Arias and Xu, 2022</w:t>
      </w:r>
      <w:r w:rsidR="006B1528" w:rsidRPr="006B1528">
        <w:rPr>
          <w:rFonts w:cstheme="minorHAnsi"/>
          <w:szCs w:val="20"/>
        </w:rPr>
        <w:t>)</w:t>
      </w:r>
      <w:r w:rsidR="00C04CD6">
        <w:rPr>
          <w:rFonts w:cstheme="minorHAnsi"/>
          <w:szCs w:val="20"/>
        </w:rPr>
        <w:t>. W</w:t>
      </w:r>
      <w:r>
        <w:rPr>
          <w:rFonts w:cstheme="minorHAnsi"/>
          <w:szCs w:val="20"/>
        </w:rPr>
        <w:t xml:space="preserve">e multiplied each age-sex-race/ethnic specific cell by the </w:t>
      </w:r>
      <w:r w:rsidR="00C04CD6">
        <w:rPr>
          <w:rFonts w:cstheme="minorHAnsi"/>
          <w:szCs w:val="20"/>
        </w:rPr>
        <w:t xml:space="preserve">classification ratio </w:t>
      </w:r>
      <w:r>
        <w:rPr>
          <w:rFonts w:cstheme="minorHAnsi"/>
          <w:szCs w:val="20"/>
        </w:rPr>
        <w:t xml:space="preserve">proportions shown </w:t>
      </w:r>
      <w:r w:rsidR="00C04CD6">
        <w:rPr>
          <w:rFonts w:cstheme="minorHAnsi"/>
          <w:szCs w:val="20"/>
        </w:rPr>
        <w:t>in the table belo</w:t>
      </w:r>
      <w:r w:rsidR="001350BC">
        <w:rPr>
          <w:rFonts w:cstheme="minorHAnsi"/>
          <w:szCs w:val="20"/>
        </w:rPr>
        <w:t xml:space="preserve">w. Thus, values in the table below </w:t>
      </w:r>
      <w:r w:rsidR="00CC291B">
        <w:rPr>
          <w:rFonts w:cstheme="minorHAnsi"/>
          <w:szCs w:val="20"/>
        </w:rPr>
        <w:t xml:space="preserve">a value of </w:t>
      </w:r>
      <w:r w:rsidR="001350BC">
        <w:rPr>
          <w:rFonts w:cstheme="minorHAnsi"/>
          <w:szCs w:val="20"/>
        </w:rPr>
        <w:t xml:space="preserve">1.0 indicate we reduced our initial estimate of deaths for that age/sex/race/ethnic group and values above 1.0 indicate we increased our initial estimate, based on assumed misclassifications in the death </w:t>
      </w:r>
      <w:r w:rsidR="007B3575">
        <w:rPr>
          <w:rFonts w:cstheme="minorHAnsi"/>
          <w:szCs w:val="20"/>
        </w:rPr>
        <w:t>certificate-based</w:t>
      </w:r>
      <w:r w:rsidR="001350BC">
        <w:rPr>
          <w:rFonts w:cstheme="minorHAnsi"/>
          <w:szCs w:val="20"/>
        </w:rPr>
        <w:t xml:space="preserve"> records.</w:t>
      </w:r>
    </w:p>
    <w:p w14:paraId="46860495" w14:textId="164BB042" w:rsidR="00C04CD6" w:rsidRPr="009E4B5D" w:rsidRDefault="00C04CD6" w:rsidP="00CC4BF6">
      <w:pPr>
        <w:spacing w:before="90"/>
        <w:rPr>
          <w:rFonts w:cstheme="minorHAnsi"/>
          <w:szCs w:val="20"/>
        </w:rPr>
      </w:pPr>
      <w:r>
        <w:rPr>
          <w:rFonts w:cstheme="minorHAnsi"/>
          <w:szCs w:val="20"/>
        </w:rPr>
        <w:t xml:space="preserve">Table 2: Classification Ratios for Adjusting Mortality Records </w:t>
      </w:r>
    </w:p>
    <w:tbl>
      <w:tblPr>
        <w:tblW w:w="9388" w:type="dxa"/>
        <w:tblInd w:w="108" w:type="dxa"/>
        <w:tblCellMar>
          <w:top w:w="15" w:type="dxa"/>
          <w:bottom w:w="15" w:type="dxa"/>
        </w:tblCellMar>
        <w:tblLook w:val="04A0" w:firstRow="1" w:lastRow="0" w:firstColumn="1" w:lastColumn="0" w:noHBand="0" w:noVBand="1"/>
      </w:tblPr>
      <w:tblGrid>
        <w:gridCol w:w="1157"/>
        <w:gridCol w:w="951"/>
        <w:gridCol w:w="806"/>
        <w:gridCol w:w="794"/>
        <w:gridCol w:w="798"/>
        <w:gridCol w:w="810"/>
        <w:gridCol w:w="810"/>
        <w:gridCol w:w="791"/>
        <w:gridCol w:w="818"/>
        <w:gridCol w:w="780"/>
        <w:gridCol w:w="873"/>
      </w:tblGrid>
      <w:tr w:rsidR="00FE5F04" w:rsidRPr="00CC4BF6" w14:paraId="14456910" w14:textId="77777777" w:rsidTr="23DBA195">
        <w:trPr>
          <w:trHeight w:val="300"/>
        </w:trPr>
        <w:tc>
          <w:tcPr>
            <w:tcW w:w="1157" w:type="dxa"/>
            <w:vMerge w:val="restart"/>
            <w:tcBorders>
              <w:top w:val="single" w:sz="4" w:space="0" w:color="auto"/>
              <w:left w:val="nil"/>
              <w:bottom w:val="single" w:sz="4" w:space="0" w:color="auto"/>
              <w:right w:val="single" w:sz="4" w:space="0" w:color="auto"/>
            </w:tcBorders>
            <w:noWrap/>
            <w:vAlign w:val="center"/>
          </w:tcPr>
          <w:p w14:paraId="4B552D13" w14:textId="74F106FF" w:rsidR="00FE5F04" w:rsidRPr="00CC4BF6" w:rsidRDefault="00FE5F04" w:rsidP="00CC4BF6">
            <w:pPr>
              <w:spacing w:after="0" w:line="240" w:lineRule="auto"/>
              <w:rPr>
                <w:rFonts w:eastAsia="Times New Roman" w:cstheme="minorHAnsi"/>
                <w:sz w:val="18"/>
                <w:szCs w:val="18"/>
              </w:rPr>
            </w:pPr>
            <w:r w:rsidRPr="00CC4BF6">
              <w:rPr>
                <w:rFonts w:eastAsia="Times New Roman" w:cstheme="minorHAnsi"/>
                <w:sz w:val="18"/>
                <w:szCs w:val="18"/>
              </w:rPr>
              <w:t>A</w:t>
            </w:r>
            <w:r>
              <w:rPr>
                <w:rFonts w:eastAsia="Times New Roman" w:cstheme="minorHAnsi"/>
                <w:sz w:val="18"/>
                <w:szCs w:val="18"/>
              </w:rPr>
              <w:t>ge</w:t>
            </w:r>
          </w:p>
        </w:tc>
        <w:tc>
          <w:tcPr>
            <w:tcW w:w="1757" w:type="dxa"/>
            <w:gridSpan w:val="2"/>
            <w:tcBorders>
              <w:top w:val="single" w:sz="4" w:space="0" w:color="auto"/>
              <w:left w:val="single" w:sz="4" w:space="0" w:color="auto"/>
              <w:bottom w:val="single" w:sz="4" w:space="0" w:color="auto"/>
              <w:right w:val="single" w:sz="4" w:space="0" w:color="auto"/>
            </w:tcBorders>
            <w:noWrap/>
            <w:vAlign w:val="bottom"/>
          </w:tcPr>
          <w:p w14:paraId="5EBB9132" w14:textId="66957BF2" w:rsidR="00FE5F04" w:rsidRPr="00CC4BF6" w:rsidRDefault="00FE5F04" w:rsidP="00CC4BF6">
            <w:pPr>
              <w:spacing w:after="0" w:line="240" w:lineRule="auto"/>
              <w:jc w:val="center"/>
              <w:rPr>
                <w:rFonts w:eastAsia="Times New Roman" w:cstheme="minorHAnsi"/>
                <w:sz w:val="18"/>
                <w:szCs w:val="18"/>
              </w:rPr>
            </w:pPr>
            <w:r>
              <w:rPr>
                <w:rFonts w:eastAsia="Times New Roman" w:cstheme="minorHAnsi"/>
                <w:sz w:val="18"/>
                <w:szCs w:val="18"/>
              </w:rPr>
              <w:t>Hispanic</w:t>
            </w:r>
          </w:p>
        </w:tc>
        <w:tc>
          <w:tcPr>
            <w:tcW w:w="1592" w:type="dxa"/>
            <w:gridSpan w:val="2"/>
            <w:tcBorders>
              <w:top w:val="single" w:sz="4" w:space="0" w:color="auto"/>
              <w:left w:val="single" w:sz="4" w:space="0" w:color="auto"/>
              <w:bottom w:val="single" w:sz="4" w:space="0" w:color="auto"/>
              <w:right w:val="single" w:sz="4" w:space="0" w:color="auto"/>
            </w:tcBorders>
            <w:noWrap/>
            <w:vAlign w:val="bottom"/>
          </w:tcPr>
          <w:p w14:paraId="0214BA8E" w14:textId="0A9727F5" w:rsidR="00FE5F04" w:rsidRPr="00CC4BF6" w:rsidRDefault="00FE5F04" w:rsidP="00CC4BF6">
            <w:pPr>
              <w:spacing w:after="0" w:line="240" w:lineRule="auto"/>
              <w:jc w:val="center"/>
              <w:rPr>
                <w:rFonts w:eastAsia="Times New Roman" w:cstheme="minorHAnsi"/>
                <w:sz w:val="18"/>
                <w:szCs w:val="18"/>
              </w:rPr>
            </w:pPr>
            <w:r>
              <w:rPr>
                <w:rFonts w:eastAsia="Times New Roman" w:cstheme="minorHAnsi"/>
                <w:sz w:val="18"/>
                <w:szCs w:val="18"/>
              </w:rPr>
              <w:t>Non-</w:t>
            </w:r>
            <w:proofErr w:type="spellStart"/>
            <w:r>
              <w:rPr>
                <w:rFonts w:eastAsia="Times New Roman" w:cstheme="minorHAnsi"/>
                <w:sz w:val="18"/>
                <w:szCs w:val="18"/>
              </w:rPr>
              <w:t>Hisp</w:t>
            </w:r>
            <w:proofErr w:type="spellEnd"/>
            <w:r>
              <w:rPr>
                <w:rFonts w:eastAsia="Times New Roman" w:cstheme="minorHAnsi"/>
                <w:sz w:val="18"/>
                <w:szCs w:val="18"/>
              </w:rPr>
              <w:t xml:space="preserve"> AIAN</w:t>
            </w:r>
          </w:p>
        </w:tc>
        <w:tc>
          <w:tcPr>
            <w:tcW w:w="1620" w:type="dxa"/>
            <w:gridSpan w:val="2"/>
            <w:tcBorders>
              <w:top w:val="single" w:sz="4" w:space="0" w:color="auto"/>
              <w:left w:val="single" w:sz="4" w:space="0" w:color="auto"/>
              <w:bottom w:val="single" w:sz="4" w:space="0" w:color="auto"/>
              <w:right w:val="single" w:sz="4" w:space="0" w:color="auto"/>
            </w:tcBorders>
            <w:noWrap/>
            <w:vAlign w:val="bottom"/>
          </w:tcPr>
          <w:p w14:paraId="37023355" w14:textId="6307EF5D" w:rsidR="00FE5F04" w:rsidRPr="00CC4BF6" w:rsidRDefault="00FE5F04" w:rsidP="00CC4BF6">
            <w:pPr>
              <w:spacing w:after="0" w:line="240" w:lineRule="auto"/>
              <w:jc w:val="center"/>
              <w:rPr>
                <w:rFonts w:eastAsia="Times New Roman" w:cstheme="minorHAnsi"/>
                <w:sz w:val="18"/>
                <w:szCs w:val="18"/>
              </w:rPr>
            </w:pPr>
            <w:r>
              <w:rPr>
                <w:rFonts w:eastAsia="Times New Roman" w:cstheme="minorHAnsi"/>
                <w:sz w:val="18"/>
                <w:szCs w:val="18"/>
              </w:rPr>
              <w:t>Non-</w:t>
            </w:r>
            <w:proofErr w:type="spellStart"/>
            <w:r>
              <w:rPr>
                <w:rFonts w:eastAsia="Times New Roman" w:cstheme="minorHAnsi"/>
                <w:sz w:val="18"/>
                <w:szCs w:val="18"/>
              </w:rPr>
              <w:t>Hisp</w:t>
            </w:r>
            <w:proofErr w:type="spellEnd"/>
            <w:r>
              <w:rPr>
                <w:rFonts w:eastAsia="Times New Roman" w:cstheme="minorHAnsi"/>
                <w:sz w:val="18"/>
                <w:szCs w:val="18"/>
              </w:rPr>
              <w:t xml:space="preserve"> API</w:t>
            </w:r>
          </w:p>
        </w:tc>
        <w:tc>
          <w:tcPr>
            <w:tcW w:w="1609" w:type="dxa"/>
            <w:gridSpan w:val="2"/>
            <w:tcBorders>
              <w:top w:val="single" w:sz="4" w:space="0" w:color="auto"/>
              <w:left w:val="single" w:sz="4" w:space="0" w:color="auto"/>
              <w:bottom w:val="single" w:sz="4" w:space="0" w:color="auto"/>
              <w:right w:val="single" w:sz="4" w:space="0" w:color="auto"/>
            </w:tcBorders>
            <w:noWrap/>
            <w:vAlign w:val="bottom"/>
          </w:tcPr>
          <w:p w14:paraId="1CD3F09F" w14:textId="07018322" w:rsidR="00FE5F04" w:rsidRPr="00CC4BF6" w:rsidRDefault="00FE5F04" w:rsidP="00CC4BF6">
            <w:pPr>
              <w:spacing w:after="0" w:line="240" w:lineRule="auto"/>
              <w:jc w:val="center"/>
              <w:rPr>
                <w:rFonts w:eastAsia="Times New Roman" w:cstheme="minorHAnsi"/>
                <w:sz w:val="18"/>
                <w:szCs w:val="18"/>
              </w:rPr>
            </w:pPr>
            <w:r>
              <w:rPr>
                <w:rFonts w:eastAsia="Times New Roman" w:cstheme="minorHAnsi"/>
                <w:sz w:val="18"/>
                <w:szCs w:val="18"/>
              </w:rPr>
              <w:t>Non-</w:t>
            </w:r>
            <w:proofErr w:type="spellStart"/>
            <w:r>
              <w:rPr>
                <w:rFonts w:eastAsia="Times New Roman" w:cstheme="minorHAnsi"/>
                <w:sz w:val="18"/>
                <w:szCs w:val="18"/>
              </w:rPr>
              <w:t>Hisp</w:t>
            </w:r>
            <w:proofErr w:type="spellEnd"/>
            <w:r>
              <w:rPr>
                <w:rFonts w:eastAsia="Times New Roman" w:cstheme="minorHAnsi"/>
                <w:sz w:val="18"/>
                <w:szCs w:val="18"/>
              </w:rPr>
              <w:t xml:space="preserve"> Black</w:t>
            </w:r>
          </w:p>
        </w:tc>
        <w:tc>
          <w:tcPr>
            <w:tcW w:w="1653" w:type="dxa"/>
            <w:gridSpan w:val="2"/>
            <w:tcBorders>
              <w:top w:val="single" w:sz="4" w:space="0" w:color="auto"/>
              <w:left w:val="single" w:sz="4" w:space="0" w:color="auto"/>
              <w:bottom w:val="single" w:sz="4" w:space="0" w:color="auto"/>
            </w:tcBorders>
            <w:vAlign w:val="bottom"/>
          </w:tcPr>
          <w:p w14:paraId="113E0B55" w14:textId="5892AF8E" w:rsidR="00FE5F04" w:rsidRPr="00CC4BF6" w:rsidRDefault="00FE5F04" w:rsidP="00CC4BF6">
            <w:pPr>
              <w:spacing w:after="0" w:line="240" w:lineRule="auto"/>
              <w:jc w:val="center"/>
              <w:rPr>
                <w:rFonts w:eastAsia="Times New Roman" w:cstheme="minorHAnsi"/>
                <w:sz w:val="18"/>
                <w:szCs w:val="18"/>
              </w:rPr>
            </w:pPr>
            <w:r>
              <w:rPr>
                <w:rFonts w:eastAsia="Times New Roman" w:cstheme="minorHAnsi"/>
                <w:sz w:val="18"/>
                <w:szCs w:val="18"/>
              </w:rPr>
              <w:t>Non-</w:t>
            </w:r>
            <w:proofErr w:type="spellStart"/>
            <w:r>
              <w:rPr>
                <w:rFonts w:eastAsia="Times New Roman" w:cstheme="minorHAnsi"/>
                <w:sz w:val="18"/>
                <w:szCs w:val="18"/>
              </w:rPr>
              <w:t>Hisp</w:t>
            </w:r>
            <w:proofErr w:type="spellEnd"/>
            <w:r>
              <w:rPr>
                <w:rFonts w:eastAsia="Times New Roman" w:cstheme="minorHAnsi"/>
                <w:sz w:val="18"/>
                <w:szCs w:val="18"/>
              </w:rPr>
              <w:t xml:space="preserve"> White</w:t>
            </w:r>
          </w:p>
        </w:tc>
      </w:tr>
      <w:tr w:rsidR="00FE5F04" w:rsidRPr="00CC4BF6" w14:paraId="312EEE04" w14:textId="77777777" w:rsidTr="23DBA195">
        <w:trPr>
          <w:trHeight w:val="300"/>
        </w:trPr>
        <w:tc>
          <w:tcPr>
            <w:tcW w:w="1157" w:type="dxa"/>
            <w:vMerge/>
            <w:noWrap/>
            <w:vAlign w:val="bottom"/>
            <w:hideMark/>
          </w:tcPr>
          <w:p w14:paraId="564375E5" w14:textId="000F700E" w:rsidR="00FE5F04" w:rsidRPr="00CC4BF6" w:rsidRDefault="00FE5F04" w:rsidP="00CC4BF6">
            <w:pPr>
              <w:spacing w:after="0" w:line="240" w:lineRule="auto"/>
              <w:rPr>
                <w:rFonts w:eastAsia="Times New Roman" w:cstheme="minorHAnsi"/>
                <w:sz w:val="18"/>
                <w:szCs w:val="18"/>
              </w:rPr>
            </w:pPr>
          </w:p>
        </w:tc>
        <w:tc>
          <w:tcPr>
            <w:tcW w:w="951" w:type="dxa"/>
            <w:tcBorders>
              <w:top w:val="nil"/>
              <w:left w:val="single" w:sz="4" w:space="0" w:color="auto"/>
              <w:bottom w:val="single" w:sz="4" w:space="0" w:color="auto"/>
              <w:right w:val="nil"/>
            </w:tcBorders>
            <w:noWrap/>
            <w:vAlign w:val="bottom"/>
            <w:hideMark/>
          </w:tcPr>
          <w:p w14:paraId="51320653"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Male</w:t>
            </w:r>
          </w:p>
        </w:tc>
        <w:tc>
          <w:tcPr>
            <w:tcW w:w="806" w:type="dxa"/>
            <w:tcBorders>
              <w:top w:val="nil"/>
              <w:left w:val="nil"/>
              <w:bottom w:val="single" w:sz="4" w:space="0" w:color="auto"/>
              <w:right w:val="single" w:sz="4" w:space="0" w:color="auto"/>
            </w:tcBorders>
            <w:noWrap/>
            <w:vAlign w:val="bottom"/>
            <w:hideMark/>
          </w:tcPr>
          <w:p w14:paraId="07297F0A"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Female</w:t>
            </w:r>
          </w:p>
        </w:tc>
        <w:tc>
          <w:tcPr>
            <w:tcW w:w="794" w:type="dxa"/>
            <w:tcBorders>
              <w:top w:val="nil"/>
              <w:left w:val="single" w:sz="4" w:space="0" w:color="auto"/>
              <w:bottom w:val="single" w:sz="4" w:space="0" w:color="auto"/>
              <w:right w:val="nil"/>
            </w:tcBorders>
            <w:noWrap/>
            <w:vAlign w:val="bottom"/>
            <w:hideMark/>
          </w:tcPr>
          <w:p w14:paraId="0D572B07"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Male</w:t>
            </w:r>
          </w:p>
        </w:tc>
        <w:tc>
          <w:tcPr>
            <w:tcW w:w="798" w:type="dxa"/>
            <w:tcBorders>
              <w:top w:val="nil"/>
              <w:left w:val="nil"/>
              <w:bottom w:val="single" w:sz="4" w:space="0" w:color="auto"/>
              <w:right w:val="single" w:sz="4" w:space="0" w:color="auto"/>
            </w:tcBorders>
            <w:noWrap/>
            <w:vAlign w:val="bottom"/>
            <w:hideMark/>
          </w:tcPr>
          <w:p w14:paraId="641A769F"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Female</w:t>
            </w:r>
          </w:p>
        </w:tc>
        <w:tc>
          <w:tcPr>
            <w:tcW w:w="810" w:type="dxa"/>
            <w:tcBorders>
              <w:top w:val="nil"/>
              <w:left w:val="single" w:sz="4" w:space="0" w:color="auto"/>
              <w:bottom w:val="single" w:sz="4" w:space="0" w:color="auto"/>
              <w:right w:val="nil"/>
            </w:tcBorders>
            <w:noWrap/>
            <w:vAlign w:val="bottom"/>
            <w:hideMark/>
          </w:tcPr>
          <w:p w14:paraId="150F245D"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Male</w:t>
            </w:r>
          </w:p>
        </w:tc>
        <w:tc>
          <w:tcPr>
            <w:tcW w:w="810" w:type="dxa"/>
            <w:tcBorders>
              <w:top w:val="nil"/>
              <w:left w:val="nil"/>
              <w:bottom w:val="single" w:sz="4" w:space="0" w:color="auto"/>
              <w:right w:val="single" w:sz="4" w:space="0" w:color="auto"/>
            </w:tcBorders>
            <w:noWrap/>
            <w:vAlign w:val="bottom"/>
            <w:hideMark/>
          </w:tcPr>
          <w:p w14:paraId="00F2AE93"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Female</w:t>
            </w:r>
          </w:p>
        </w:tc>
        <w:tc>
          <w:tcPr>
            <w:tcW w:w="791" w:type="dxa"/>
            <w:tcBorders>
              <w:top w:val="nil"/>
              <w:left w:val="single" w:sz="4" w:space="0" w:color="auto"/>
              <w:bottom w:val="single" w:sz="4" w:space="0" w:color="auto"/>
              <w:right w:val="nil"/>
            </w:tcBorders>
            <w:noWrap/>
            <w:vAlign w:val="bottom"/>
            <w:hideMark/>
          </w:tcPr>
          <w:p w14:paraId="57C7EC2A"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Male</w:t>
            </w:r>
          </w:p>
        </w:tc>
        <w:tc>
          <w:tcPr>
            <w:tcW w:w="818" w:type="dxa"/>
            <w:tcBorders>
              <w:top w:val="nil"/>
              <w:left w:val="nil"/>
              <w:bottom w:val="single" w:sz="4" w:space="0" w:color="auto"/>
              <w:right w:val="single" w:sz="4" w:space="0" w:color="auto"/>
            </w:tcBorders>
            <w:noWrap/>
            <w:vAlign w:val="bottom"/>
            <w:hideMark/>
          </w:tcPr>
          <w:p w14:paraId="2BBBDC01" w14:textId="77777777"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Female</w:t>
            </w:r>
          </w:p>
        </w:tc>
        <w:tc>
          <w:tcPr>
            <w:tcW w:w="780" w:type="dxa"/>
            <w:tcBorders>
              <w:top w:val="nil"/>
              <w:left w:val="single" w:sz="4" w:space="0" w:color="auto"/>
              <w:bottom w:val="single" w:sz="4" w:space="0" w:color="auto"/>
              <w:right w:val="nil"/>
            </w:tcBorders>
            <w:vAlign w:val="bottom"/>
          </w:tcPr>
          <w:p w14:paraId="481DBACC" w14:textId="1468E006" w:rsidR="00FE5F04" w:rsidRPr="00E80E6C" w:rsidRDefault="00FE5F04" w:rsidP="00CC4BF6">
            <w:pPr>
              <w:spacing w:after="0" w:line="240" w:lineRule="auto"/>
              <w:jc w:val="center"/>
              <w:rPr>
                <w:rFonts w:eastAsia="Times New Roman" w:cstheme="minorHAnsi"/>
                <w:sz w:val="18"/>
                <w:szCs w:val="18"/>
              </w:rPr>
            </w:pPr>
            <w:r w:rsidRPr="00E80E6C">
              <w:rPr>
                <w:rFonts w:eastAsia="Times New Roman" w:cstheme="minorHAnsi"/>
                <w:sz w:val="18"/>
                <w:szCs w:val="18"/>
              </w:rPr>
              <w:t>Male</w:t>
            </w:r>
          </w:p>
        </w:tc>
        <w:tc>
          <w:tcPr>
            <w:tcW w:w="873" w:type="dxa"/>
            <w:tcBorders>
              <w:top w:val="nil"/>
              <w:left w:val="nil"/>
              <w:bottom w:val="single" w:sz="4" w:space="0" w:color="auto"/>
            </w:tcBorders>
            <w:noWrap/>
            <w:vAlign w:val="bottom"/>
            <w:hideMark/>
          </w:tcPr>
          <w:p w14:paraId="4C09DB4D" w14:textId="41D29EAA" w:rsidR="00FE5F04" w:rsidRPr="00CC4BF6" w:rsidRDefault="00FE5F04" w:rsidP="00CC4BF6">
            <w:pPr>
              <w:spacing w:after="0" w:line="240" w:lineRule="auto"/>
              <w:jc w:val="center"/>
              <w:rPr>
                <w:rFonts w:eastAsia="Times New Roman" w:cstheme="minorHAnsi"/>
                <w:sz w:val="18"/>
                <w:szCs w:val="18"/>
              </w:rPr>
            </w:pPr>
            <w:r w:rsidRPr="00CC4BF6">
              <w:rPr>
                <w:rFonts w:eastAsia="Times New Roman" w:cstheme="minorHAnsi"/>
                <w:sz w:val="18"/>
                <w:szCs w:val="18"/>
              </w:rPr>
              <w:t>Female</w:t>
            </w:r>
          </w:p>
        </w:tc>
      </w:tr>
      <w:tr w:rsidR="00FE5F04" w:rsidRPr="00CC4BF6" w14:paraId="0230E916" w14:textId="77777777" w:rsidTr="23DBA195">
        <w:trPr>
          <w:trHeight w:val="300"/>
        </w:trPr>
        <w:tc>
          <w:tcPr>
            <w:tcW w:w="1157" w:type="dxa"/>
            <w:tcBorders>
              <w:top w:val="nil"/>
              <w:left w:val="nil"/>
              <w:bottom w:val="nil"/>
              <w:right w:val="single" w:sz="4" w:space="0" w:color="auto"/>
            </w:tcBorders>
            <w:noWrap/>
            <w:vAlign w:val="bottom"/>
            <w:hideMark/>
          </w:tcPr>
          <w:p w14:paraId="423403A3" w14:textId="1A4E3CDE" w:rsidR="00FE5F04" w:rsidRPr="00CC4BF6" w:rsidRDefault="00FE5F04" w:rsidP="00E80E6C">
            <w:pPr>
              <w:spacing w:after="0" w:line="240" w:lineRule="auto"/>
              <w:rPr>
                <w:rFonts w:eastAsia="Times New Roman" w:cstheme="minorHAnsi"/>
                <w:sz w:val="18"/>
                <w:szCs w:val="18"/>
              </w:rPr>
            </w:pPr>
            <w:r>
              <w:rPr>
                <w:rFonts w:eastAsia="Times New Roman" w:cstheme="minorHAnsi"/>
                <w:sz w:val="18"/>
                <w:szCs w:val="18"/>
              </w:rPr>
              <w:t>0</w:t>
            </w:r>
            <w:r w:rsidRPr="00CC4BF6">
              <w:rPr>
                <w:rFonts w:eastAsia="Times New Roman" w:cstheme="minorHAnsi"/>
                <w:sz w:val="18"/>
                <w:szCs w:val="18"/>
              </w:rPr>
              <w:t xml:space="preserve">–14           </w:t>
            </w:r>
          </w:p>
        </w:tc>
        <w:tc>
          <w:tcPr>
            <w:tcW w:w="951" w:type="dxa"/>
            <w:tcBorders>
              <w:top w:val="nil"/>
              <w:left w:val="single" w:sz="4" w:space="0" w:color="auto"/>
              <w:bottom w:val="nil"/>
              <w:right w:val="nil"/>
            </w:tcBorders>
            <w:shd w:val="clear" w:color="auto" w:fill="auto"/>
            <w:noWrap/>
            <w:vAlign w:val="bottom"/>
            <w:hideMark/>
          </w:tcPr>
          <w:p w14:paraId="1EBB0A8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0.9659</w:t>
            </w:r>
          </w:p>
        </w:tc>
        <w:tc>
          <w:tcPr>
            <w:tcW w:w="806" w:type="dxa"/>
            <w:tcBorders>
              <w:top w:val="nil"/>
              <w:left w:val="nil"/>
              <w:bottom w:val="nil"/>
              <w:right w:val="single" w:sz="4" w:space="0" w:color="auto"/>
            </w:tcBorders>
            <w:shd w:val="clear" w:color="auto" w:fill="auto"/>
            <w:noWrap/>
            <w:vAlign w:val="bottom"/>
            <w:hideMark/>
          </w:tcPr>
          <w:p w14:paraId="0890969F" w14:textId="423297B4"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w:t>
            </w:r>
            <w:r>
              <w:rPr>
                <w:rFonts w:eastAsia="Times New Roman" w:cstheme="minorHAnsi"/>
                <w:sz w:val="18"/>
                <w:szCs w:val="18"/>
              </w:rPr>
              <w:t>000</w:t>
            </w:r>
          </w:p>
        </w:tc>
        <w:tc>
          <w:tcPr>
            <w:tcW w:w="794" w:type="dxa"/>
            <w:tcBorders>
              <w:top w:val="nil"/>
              <w:left w:val="single" w:sz="4" w:space="0" w:color="auto"/>
              <w:bottom w:val="nil"/>
              <w:right w:val="nil"/>
            </w:tcBorders>
            <w:shd w:val="clear" w:color="auto" w:fill="auto"/>
            <w:noWrap/>
            <w:vAlign w:val="bottom"/>
            <w:hideMark/>
          </w:tcPr>
          <w:p w14:paraId="469D1BD7"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1.1546</w:t>
            </w:r>
          </w:p>
        </w:tc>
        <w:tc>
          <w:tcPr>
            <w:tcW w:w="798" w:type="dxa"/>
            <w:tcBorders>
              <w:top w:val="nil"/>
              <w:left w:val="nil"/>
              <w:bottom w:val="nil"/>
              <w:right w:val="single" w:sz="4" w:space="0" w:color="auto"/>
            </w:tcBorders>
            <w:shd w:val="clear" w:color="auto" w:fill="auto"/>
            <w:noWrap/>
            <w:vAlign w:val="bottom"/>
            <w:hideMark/>
          </w:tcPr>
          <w:p w14:paraId="1441DB7A"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1.0833</w:t>
            </w:r>
          </w:p>
        </w:tc>
        <w:tc>
          <w:tcPr>
            <w:tcW w:w="810" w:type="dxa"/>
            <w:tcBorders>
              <w:top w:val="nil"/>
              <w:left w:val="single" w:sz="4" w:space="0" w:color="auto"/>
              <w:bottom w:val="nil"/>
              <w:right w:val="nil"/>
            </w:tcBorders>
            <w:shd w:val="clear" w:color="auto" w:fill="auto"/>
            <w:noWrap/>
            <w:vAlign w:val="bottom"/>
            <w:hideMark/>
          </w:tcPr>
          <w:p w14:paraId="7D1AA2DC" w14:textId="2A7D6FB4" w:rsidR="00FE5F04" w:rsidRPr="00CC4BF6" w:rsidRDefault="006B1528"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810" w:type="dxa"/>
            <w:tcBorders>
              <w:top w:val="nil"/>
              <w:left w:val="nil"/>
              <w:bottom w:val="nil"/>
              <w:right w:val="single" w:sz="4" w:space="0" w:color="auto"/>
            </w:tcBorders>
            <w:shd w:val="clear" w:color="auto" w:fill="auto"/>
            <w:noWrap/>
            <w:vAlign w:val="bottom"/>
            <w:hideMark/>
          </w:tcPr>
          <w:p w14:paraId="01E6D187"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791" w:type="dxa"/>
            <w:tcBorders>
              <w:top w:val="nil"/>
              <w:left w:val="single" w:sz="4" w:space="0" w:color="auto"/>
              <w:bottom w:val="nil"/>
              <w:right w:val="nil"/>
            </w:tcBorders>
            <w:shd w:val="clear" w:color="auto" w:fill="auto"/>
            <w:noWrap/>
            <w:vAlign w:val="bottom"/>
            <w:hideMark/>
          </w:tcPr>
          <w:p w14:paraId="30E0B8B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0.9379</w:t>
            </w:r>
          </w:p>
        </w:tc>
        <w:tc>
          <w:tcPr>
            <w:tcW w:w="818" w:type="dxa"/>
            <w:tcBorders>
              <w:top w:val="nil"/>
              <w:left w:val="nil"/>
              <w:bottom w:val="nil"/>
              <w:right w:val="single" w:sz="4" w:space="0" w:color="auto"/>
            </w:tcBorders>
            <w:shd w:val="clear" w:color="auto" w:fill="auto"/>
            <w:noWrap/>
            <w:vAlign w:val="bottom"/>
            <w:hideMark/>
          </w:tcPr>
          <w:p w14:paraId="381C557F" w14:textId="341AA7B4" w:rsidR="00FE5F04" w:rsidRPr="00CC4BF6" w:rsidRDefault="006B1528"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780" w:type="dxa"/>
            <w:tcBorders>
              <w:top w:val="nil"/>
              <w:left w:val="single" w:sz="4" w:space="0" w:color="auto"/>
              <w:bottom w:val="nil"/>
              <w:right w:val="nil"/>
            </w:tcBorders>
            <w:shd w:val="clear" w:color="auto" w:fill="auto"/>
            <w:vAlign w:val="bottom"/>
          </w:tcPr>
          <w:p w14:paraId="674F7AA8" w14:textId="59AE527E"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1.0755</w:t>
            </w:r>
          </w:p>
        </w:tc>
        <w:tc>
          <w:tcPr>
            <w:tcW w:w="873" w:type="dxa"/>
            <w:tcBorders>
              <w:top w:val="nil"/>
              <w:left w:val="nil"/>
              <w:bottom w:val="nil"/>
            </w:tcBorders>
            <w:shd w:val="clear" w:color="auto" w:fill="auto"/>
            <w:noWrap/>
            <w:vAlign w:val="bottom"/>
            <w:hideMark/>
          </w:tcPr>
          <w:p w14:paraId="74FBFD4A" w14:textId="7A8F5226"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0.8770</w:t>
            </w:r>
          </w:p>
        </w:tc>
      </w:tr>
      <w:tr w:rsidR="00FE5F04" w:rsidRPr="00CC4BF6" w14:paraId="7C47EFEC" w14:textId="77777777" w:rsidTr="23DBA195">
        <w:trPr>
          <w:trHeight w:val="300"/>
        </w:trPr>
        <w:tc>
          <w:tcPr>
            <w:tcW w:w="1157" w:type="dxa"/>
            <w:tcBorders>
              <w:top w:val="nil"/>
              <w:left w:val="nil"/>
              <w:bottom w:val="nil"/>
              <w:right w:val="single" w:sz="4" w:space="0" w:color="auto"/>
            </w:tcBorders>
            <w:noWrap/>
            <w:vAlign w:val="bottom"/>
            <w:hideMark/>
          </w:tcPr>
          <w:p w14:paraId="296AA55E"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15–24          </w:t>
            </w:r>
          </w:p>
        </w:tc>
        <w:tc>
          <w:tcPr>
            <w:tcW w:w="951" w:type="dxa"/>
            <w:tcBorders>
              <w:top w:val="nil"/>
              <w:left w:val="single" w:sz="4" w:space="0" w:color="auto"/>
              <w:bottom w:val="nil"/>
              <w:right w:val="nil"/>
            </w:tcBorders>
            <w:shd w:val="clear" w:color="auto" w:fill="auto"/>
            <w:noWrap/>
            <w:vAlign w:val="bottom"/>
            <w:hideMark/>
          </w:tcPr>
          <w:p w14:paraId="4ED154C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0.9325</w:t>
            </w:r>
          </w:p>
        </w:tc>
        <w:tc>
          <w:tcPr>
            <w:tcW w:w="806" w:type="dxa"/>
            <w:tcBorders>
              <w:top w:val="nil"/>
              <w:left w:val="nil"/>
              <w:bottom w:val="nil"/>
              <w:right w:val="single" w:sz="4" w:space="0" w:color="auto"/>
            </w:tcBorders>
            <w:shd w:val="clear" w:color="auto" w:fill="auto"/>
            <w:noWrap/>
            <w:vAlign w:val="bottom"/>
            <w:hideMark/>
          </w:tcPr>
          <w:p w14:paraId="4FAE6CA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1.0604</w:t>
            </w:r>
          </w:p>
        </w:tc>
        <w:tc>
          <w:tcPr>
            <w:tcW w:w="794" w:type="dxa"/>
            <w:tcBorders>
              <w:top w:val="nil"/>
              <w:left w:val="single" w:sz="4" w:space="0" w:color="auto"/>
              <w:bottom w:val="nil"/>
              <w:right w:val="nil"/>
            </w:tcBorders>
            <w:shd w:val="clear" w:color="auto" w:fill="auto"/>
            <w:noWrap/>
            <w:vAlign w:val="bottom"/>
            <w:hideMark/>
          </w:tcPr>
          <w:p w14:paraId="20BDA93A"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1.1201</w:t>
            </w:r>
          </w:p>
        </w:tc>
        <w:tc>
          <w:tcPr>
            <w:tcW w:w="798" w:type="dxa"/>
            <w:tcBorders>
              <w:top w:val="nil"/>
              <w:left w:val="nil"/>
              <w:bottom w:val="nil"/>
              <w:right w:val="single" w:sz="4" w:space="0" w:color="auto"/>
            </w:tcBorders>
            <w:shd w:val="clear" w:color="auto" w:fill="auto"/>
            <w:noWrap/>
            <w:vAlign w:val="bottom"/>
            <w:hideMark/>
          </w:tcPr>
          <w:p w14:paraId="2711E02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1.2190</w:t>
            </w:r>
          </w:p>
        </w:tc>
        <w:tc>
          <w:tcPr>
            <w:tcW w:w="810" w:type="dxa"/>
            <w:tcBorders>
              <w:top w:val="nil"/>
              <w:left w:val="single" w:sz="4" w:space="0" w:color="auto"/>
              <w:bottom w:val="nil"/>
              <w:right w:val="nil"/>
            </w:tcBorders>
            <w:shd w:val="clear" w:color="auto" w:fill="auto"/>
            <w:noWrap/>
            <w:vAlign w:val="bottom"/>
            <w:hideMark/>
          </w:tcPr>
          <w:p w14:paraId="571D12C6" w14:textId="28C788B2" w:rsidR="00FE5F04" w:rsidRPr="00CC4BF6" w:rsidRDefault="006B1528"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810" w:type="dxa"/>
            <w:tcBorders>
              <w:top w:val="nil"/>
              <w:left w:val="nil"/>
              <w:bottom w:val="nil"/>
              <w:right w:val="single" w:sz="4" w:space="0" w:color="auto"/>
            </w:tcBorders>
            <w:shd w:val="clear" w:color="auto" w:fill="auto"/>
            <w:noWrap/>
            <w:vAlign w:val="bottom"/>
            <w:hideMark/>
          </w:tcPr>
          <w:p w14:paraId="116628A6" w14:textId="2021772E" w:rsidR="00FE5F04" w:rsidRPr="00CC4BF6" w:rsidRDefault="006B1528"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791" w:type="dxa"/>
            <w:tcBorders>
              <w:top w:val="nil"/>
              <w:left w:val="single" w:sz="4" w:space="0" w:color="auto"/>
              <w:bottom w:val="nil"/>
              <w:right w:val="nil"/>
            </w:tcBorders>
            <w:shd w:val="clear" w:color="auto" w:fill="auto"/>
            <w:noWrap/>
            <w:vAlign w:val="bottom"/>
            <w:hideMark/>
          </w:tcPr>
          <w:p w14:paraId="78E7B33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1.0215</w:t>
            </w:r>
          </w:p>
        </w:tc>
        <w:tc>
          <w:tcPr>
            <w:tcW w:w="818" w:type="dxa"/>
            <w:tcBorders>
              <w:top w:val="nil"/>
              <w:left w:val="nil"/>
              <w:bottom w:val="nil"/>
              <w:right w:val="single" w:sz="4" w:space="0" w:color="auto"/>
            </w:tcBorders>
            <w:shd w:val="clear" w:color="auto" w:fill="auto"/>
            <w:noWrap/>
            <w:vAlign w:val="bottom"/>
            <w:hideMark/>
          </w:tcPr>
          <w:p w14:paraId="6BD475C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1.0343</w:t>
            </w:r>
          </w:p>
        </w:tc>
        <w:tc>
          <w:tcPr>
            <w:tcW w:w="780" w:type="dxa"/>
            <w:tcBorders>
              <w:top w:val="nil"/>
              <w:left w:val="single" w:sz="4" w:space="0" w:color="auto"/>
              <w:bottom w:val="nil"/>
              <w:right w:val="nil"/>
            </w:tcBorders>
            <w:shd w:val="clear" w:color="auto" w:fill="auto"/>
            <w:vAlign w:val="bottom"/>
          </w:tcPr>
          <w:p w14:paraId="7057D248" w14:textId="0F9FA2D6"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1.0019</w:t>
            </w:r>
          </w:p>
        </w:tc>
        <w:tc>
          <w:tcPr>
            <w:tcW w:w="873" w:type="dxa"/>
            <w:tcBorders>
              <w:top w:val="nil"/>
              <w:left w:val="nil"/>
              <w:bottom w:val="nil"/>
            </w:tcBorders>
            <w:shd w:val="clear" w:color="auto" w:fill="auto"/>
            <w:noWrap/>
            <w:vAlign w:val="bottom"/>
            <w:hideMark/>
          </w:tcPr>
          <w:p w14:paraId="17DFB5A3" w14:textId="6F216CCC"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0.9869</w:t>
            </w:r>
          </w:p>
        </w:tc>
      </w:tr>
      <w:tr w:rsidR="00FE5F04" w:rsidRPr="00CC4BF6" w14:paraId="6D59B73B" w14:textId="77777777" w:rsidTr="23DBA195">
        <w:trPr>
          <w:trHeight w:val="300"/>
        </w:trPr>
        <w:tc>
          <w:tcPr>
            <w:tcW w:w="1157" w:type="dxa"/>
            <w:tcBorders>
              <w:top w:val="nil"/>
              <w:left w:val="nil"/>
              <w:bottom w:val="nil"/>
              <w:right w:val="single" w:sz="4" w:space="0" w:color="auto"/>
            </w:tcBorders>
            <w:noWrap/>
            <w:vAlign w:val="bottom"/>
            <w:hideMark/>
          </w:tcPr>
          <w:p w14:paraId="6ECC3C66"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25–34          </w:t>
            </w:r>
          </w:p>
        </w:tc>
        <w:tc>
          <w:tcPr>
            <w:tcW w:w="951" w:type="dxa"/>
            <w:tcBorders>
              <w:top w:val="nil"/>
              <w:left w:val="single" w:sz="4" w:space="0" w:color="auto"/>
              <w:bottom w:val="nil"/>
              <w:right w:val="nil"/>
            </w:tcBorders>
            <w:shd w:val="clear" w:color="auto" w:fill="auto"/>
            <w:noWrap/>
            <w:vAlign w:val="bottom"/>
            <w:hideMark/>
          </w:tcPr>
          <w:p w14:paraId="2F6D72A9"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1.0401</w:t>
            </w:r>
          </w:p>
        </w:tc>
        <w:tc>
          <w:tcPr>
            <w:tcW w:w="806" w:type="dxa"/>
            <w:tcBorders>
              <w:top w:val="nil"/>
              <w:left w:val="nil"/>
              <w:bottom w:val="nil"/>
              <w:right w:val="single" w:sz="4" w:space="0" w:color="auto"/>
            </w:tcBorders>
            <w:shd w:val="clear" w:color="auto" w:fill="auto"/>
            <w:noWrap/>
            <w:vAlign w:val="bottom"/>
            <w:hideMark/>
          </w:tcPr>
          <w:p w14:paraId="14D47F2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1.0232</w:t>
            </w:r>
          </w:p>
        </w:tc>
        <w:tc>
          <w:tcPr>
            <w:tcW w:w="794" w:type="dxa"/>
            <w:tcBorders>
              <w:top w:val="nil"/>
              <w:left w:val="single" w:sz="4" w:space="0" w:color="auto"/>
              <w:bottom w:val="nil"/>
              <w:right w:val="nil"/>
            </w:tcBorders>
            <w:shd w:val="clear" w:color="auto" w:fill="auto"/>
            <w:noWrap/>
            <w:vAlign w:val="bottom"/>
            <w:hideMark/>
          </w:tcPr>
          <w:p w14:paraId="5FDFD01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1.1557</w:t>
            </w:r>
          </w:p>
        </w:tc>
        <w:tc>
          <w:tcPr>
            <w:tcW w:w="798" w:type="dxa"/>
            <w:tcBorders>
              <w:top w:val="nil"/>
              <w:left w:val="nil"/>
              <w:bottom w:val="nil"/>
              <w:right w:val="single" w:sz="4" w:space="0" w:color="auto"/>
            </w:tcBorders>
            <w:shd w:val="clear" w:color="auto" w:fill="auto"/>
            <w:noWrap/>
            <w:vAlign w:val="bottom"/>
            <w:hideMark/>
          </w:tcPr>
          <w:p w14:paraId="283E7EB0"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1.1033</w:t>
            </w:r>
          </w:p>
        </w:tc>
        <w:tc>
          <w:tcPr>
            <w:tcW w:w="810" w:type="dxa"/>
            <w:tcBorders>
              <w:top w:val="nil"/>
              <w:left w:val="single" w:sz="4" w:space="0" w:color="auto"/>
              <w:bottom w:val="nil"/>
              <w:right w:val="nil"/>
            </w:tcBorders>
            <w:shd w:val="clear" w:color="auto" w:fill="auto"/>
            <w:noWrap/>
            <w:vAlign w:val="bottom"/>
            <w:hideMark/>
          </w:tcPr>
          <w:p w14:paraId="03CA2297"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1.0967</w:t>
            </w:r>
          </w:p>
        </w:tc>
        <w:tc>
          <w:tcPr>
            <w:tcW w:w="810" w:type="dxa"/>
            <w:tcBorders>
              <w:top w:val="nil"/>
              <w:left w:val="nil"/>
              <w:bottom w:val="nil"/>
              <w:right w:val="single" w:sz="4" w:space="0" w:color="auto"/>
            </w:tcBorders>
            <w:shd w:val="clear" w:color="auto" w:fill="auto"/>
            <w:noWrap/>
            <w:vAlign w:val="bottom"/>
            <w:hideMark/>
          </w:tcPr>
          <w:p w14:paraId="7C9D9B86" w14:textId="1290225A" w:rsidR="00FE5F04" w:rsidRPr="00CC4BF6" w:rsidRDefault="006B1528" w:rsidP="00E80E6C">
            <w:pPr>
              <w:spacing w:after="0" w:line="240" w:lineRule="auto"/>
              <w:jc w:val="right"/>
              <w:rPr>
                <w:rFonts w:eastAsia="Times New Roman" w:cstheme="minorHAnsi"/>
                <w:sz w:val="18"/>
                <w:szCs w:val="18"/>
              </w:rPr>
            </w:pPr>
            <w:r w:rsidRPr="00CC4BF6">
              <w:rPr>
                <w:rFonts w:eastAsia="Times New Roman" w:cstheme="minorHAnsi"/>
                <w:sz w:val="18"/>
                <w:szCs w:val="18"/>
              </w:rPr>
              <w:t>1.0000</w:t>
            </w:r>
          </w:p>
        </w:tc>
        <w:tc>
          <w:tcPr>
            <w:tcW w:w="791" w:type="dxa"/>
            <w:tcBorders>
              <w:top w:val="nil"/>
              <w:left w:val="single" w:sz="4" w:space="0" w:color="auto"/>
              <w:bottom w:val="nil"/>
              <w:right w:val="nil"/>
            </w:tcBorders>
            <w:shd w:val="clear" w:color="auto" w:fill="auto"/>
            <w:noWrap/>
            <w:vAlign w:val="bottom"/>
            <w:hideMark/>
          </w:tcPr>
          <w:p w14:paraId="34716A50"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0.9770</w:t>
            </w:r>
          </w:p>
        </w:tc>
        <w:tc>
          <w:tcPr>
            <w:tcW w:w="818" w:type="dxa"/>
            <w:tcBorders>
              <w:top w:val="nil"/>
              <w:left w:val="nil"/>
              <w:bottom w:val="nil"/>
              <w:right w:val="single" w:sz="4" w:space="0" w:color="auto"/>
            </w:tcBorders>
            <w:shd w:val="clear" w:color="auto" w:fill="auto"/>
            <w:noWrap/>
            <w:vAlign w:val="bottom"/>
            <w:hideMark/>
          </w:tcPr>
          <w:p w14:paraId="7E0845CB"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1.0008</w:t>
            </w:r>
          </w:p>
        </w:tc>
        <w:tc>
          <w:tcPr>
            <w:tcW w:w="780" w:type="dxa"/>
            <w:tcBorders>
              <w:top w:val="nil"/>
              <w:left w:val="single" w:sz="4" w:space="0" w:color="auto"/>
              <w:bottom w:val="nil"/>
              <w:right w:val="nil"/>
            </w:tcBorders>
            <w:shd w:val="clear" w:color="auto" w:fill="auto"/>
            <w:vAlign w:val="bottom"/>
          </w:tcPr>
          <w:p w14:paraId="305A85F8" w14:textId="7A36B744"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1.0034</w:t>
            </w:r>
          </w:p>
        </w:tc>
        <w:tc>
          <w:tcPr>
            <w:tcW w:w="873" w:type="dxa"/>
            <w:tcBorders>
              <w:top w:val="nil"/>
              <w:left w:val="nil"/>
              <w:bottom w:val="nil"/>
            </w:tcBorders>
            <w:shd w:val="clear" w:color="auto" w:fill="auto"/>
            <w:noWrap/>
            <w:vAlign w:val="bottom"/>
            <w:hideMark/>
          </w:tcPr>
          <w:p w14:paraId="232F6C47" w14:textId="742AFDE1"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0.9994</w:t>
            </w:r>
          </w:p>
        </w:tc>
      </w:tr>
      <w:tr w:rsidR="00FE5F04" w:rsidRPr="00CC4BF6" w14:paraId="1B714EBA" w14:textId="77777777" w:rsidTr="23DBA195">
        <w:trPr>
          <w:trHeight w:val="300"/>
        </w:trPr>
        <w:tc>
          <w:tcPr>
            <w:tcW w:w="1157" w:type="dxa"/>
            <w:tcBorders>
              <w:top w:val="nil"/>
              <w:left w:val="nil"/>
              <w:bottom w:val="nil"/>
              <w:right w:val="single" w:sz="4" w:space="0" w:color="auto"/>
            </w:tcBorders>
            <w:noWrap/>
            <w:vAlign w:val="bottom"/>
            <w:hideMark/>
          </w:tcPr>
          <w:p w14:paraId="25D751AA"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35–44          </w:t>
            </w:r>
          </w:p>
        </w:tc>
        <w:tc>
          <w:tcPr>
            <w:tcW w:w="951" w:type="dxa"/>
            <w:tcBorders>
              <w:top w:val="nil"/>
              <w:left w:val="single" w:sz="4" w:space="0" w:color="auto"/>
              <w:bottom w:val="nil"/>
              <w:right w:val="nil"/>
            </w:tcBorders>
            <w:shd w:val="clear" w:color="auto" w:fill="auto"/>
            <w:noWrap/>
            <w:vAlign w:val="bottom"/>
            <w:hideMark/>
          </w:tcPr>
          <w:p w14:paraId="40F6250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1.0645</w:t>
            </w:r>
          </w:p>
        </w:tc>
        <w:tc>
          <w:tcPr>
            <w:tcW w:w="806" w:type="dxa"/>
            <w:tcBorders>
              <w:top w:val="nil"/>
              <w:left w:val="nil"/>
              <w:bottom w:val="nil"/>
              <w:right w:val="single" w:sz="4" w:space="0" w:color="auto"/>
            </w:tcBorders>
            <w:shd w:val="clear" w:color="auto" w:fill="auto"/>
            <w:noWrap/>
            <w:vAlign w:val="bottom"/>
            <w:hideMark/>
          </w:tcPr>
          <w:p w14:paraId="3DF6F1E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1.0066</w:t>
            </w:r>
          </w:p>
        </w:tc>
        <w:tc>
          <w:tcPr>
            <w:tcW w:w="794" w:type="dxa"/>
            <w:tcBorders>
              <w:top w:val="nil"/>
              <w:left w:val="single" w:sz="4" w:space="0" w:color="auto"/>
              <w:bottom w:val="nil"/>
              <w:right w:val="nil"/>
            </w:tcBorders>
            <w:shd w:val="clear" w:color="auto" w:fill="auto"/>
            <w:noWrap/>
            <w:vAlign w:val="bottom"/>
            <w:hideMark/>
          </w:tcPr>
          <w:p w14:paraId="743D72D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1.1815</w:t>
            </w:r>
          </w:p>
        </w:tc>
        <w:tc>
          <w:tcPr>
            <w:tcW w:w="798" w:type="dxa"/>
            <w:tcBorders>
              <w:top w:val="nil"/>
              <w:left w:val="nil"/>
              <w:bottom w:val="nil"/>
              <w:right w:val="single" w:sz="4" w:space="0" w:color="auto"/>
            </w:tcBorders>
            <w:shd w:val="clear" w:color="auto" w:fill="auto"/>
            <w:noWrap/>
            <w:vAlign w:val="bottom"/>
            <w:hideMark/>
          </w:tcPr>
          <w:p w14:paraId="746C4DF7"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1.1772</w:t>
            </w:r>
          </w:p>
        </w:tc>
        <w:tc>
          <w:tcPr>
            <w:tcW w:w="810" w:type="dxa"/>
            <w:tcBorders>
              <w:top w:val="nil"/>
              <w:left w:val="single" w:sz="4" w:space="0" w:color="auto"/>
              <w:bottom w:val="nil"/>
              <w:right w:val="nil"/>
            </w:tcBorders>
            <w:shd w:val="clear" w:color="auto" w:fill="auto"/>
            <w:noWrap/>
            <w:vAlign w:val="bottom"/>
            <w:hideMark/>
          </w:tcPr>
          <w:p w14:paraId="3947B33A"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1.0459</w:t>
            </w:r>
          </w:p>
        </w:tc>
        <w:tc>
          <w:tcPr>
            <w:tcW w:w="810" w:type="dxa"/>
            <w:tcBorders>
              <w:top w:val="nil"/>
              <w:left w:val="nil"/>
              <w:bottom w:val="nil"/>
              <w:right w:val="single" w:sz="4" w:space="0" w:color="auto"/>
            </w:tcBorders>
            <w:shd w:val="clear" w:color="auto" w:fill="auto"/>
            <w:noWrap/>
            <w:vAlign w:val="bottom"/>
            <w:hideMark/>
          </w:tcPr>
          <w:p w14:paraId="0EB39369"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1.0125</w:t>
            </w:r>
          </w:p>
        </w:tc>
        <w:tc>
          <w:tcPr>
            <w:tcW w:w="791" w:type="dxa"/>
            <w:tcBorders>
              <w:top w:val="nil"/>
              <w:left w:val="single" w:sz="4" w:space="0" w:color="auto"/>
              <w:bottom w:val="nil"/>
              <w:right w:val="nil"/>
            </w:tcBorders>
            <w:shd w:val="clear" w:color="auto" w:fill="auto"/>
            <w:noWrap/>
            <w:vAlign w:val="bottom"/>
            <w:hideMark/>
          </w:tcPr>
          <w:p w14:paraId="7AE267A0"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1.0073</w:t>
            </w:r>
          </w:p>
        </w:tc>
        <w:tc>
          <w:tcPr>
            <w:tcW w:w="818" w:type="dxa"/>
            <w:tcBorders>
              <w:top w:val="nil"/>
              <w:left w:val="nil"/>
              <w:bottom w:val="nil"/>
              <w:right w:val="single" w:sz="4" w:space="0" w:color="auto"/>
            </w:tcBorders>
            <w:shd w:val="clear" w:color="auto" w:fill="auto"/>
            <w:noWrap/>
            <w:vAlign w:val="bottom"/>
            <w:hideMark/>
          </w:tcPr>
          <w:p w14:paraId="5AAE613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1.0048</w:t>
            </w:r>
          </w:p>
        </w:tc>
        <w:tc>
          <w:tcPr>
            <w:tcW w:w="780" w:type="dxa"/>
            <w:tcBorders>
              <w:top w:val="nil"/>
              <w:left w:val="single" w:sz="4" w:space="0" w:color="auto"/>
              <w:bottom w:val="nil"/>
              <w:right w:val="nil"/>
            </w:tcBorders>
            <w:shd w:val="clear" w:color="auto" w:fill="auto"/>
            <w:vAlign w:val="bottom"/>
          </w:tcPr>
          <w:p w14:paraId="6B9BCE53" w14:textId="2021AF81"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0.9997</w:t>
            </w:r>
          </w:p>
        </w:tc>
        <w:tc>
          <w:tcPr>
            <w:tcW w:w="873" w:type="dxa"/>
            <w:tcBorders>
              <w:top w:val="nil"/>
              <w:left w:val="nil"/>
              <w:bottom w:val="nil"/>
            </w:tcBorders>
            <w:shd w:val="clear" w:color="auto" w:fill="auto"/>
            <w:noWrap/>
            <w:vAlign w:val="bottom"/>
            <w:hideMark/>
          </w:tcPr>
          <w:p w14:paraId="19959B3E" w14:textId="1BD23DDB"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0.9951</w:t>
            </w:r>
          </w:p>
        </w:tc>
      </w:tr>
      <w:tr w:rsidR="00FE5F04" w:rsidRPr="00CC4BF6" w14:paraId="71BCBDD3" w14:textId="77777777" w:rsidTr="23DBA195">
        <w:trPr>
          <w:trHeight w:val="300"/>
        </w:trPr>
        <w:tc>
          <w:tcPr>
            <w:tcW w:w="1157" w:type="dxa"/>
            <w:tcBorders>
              <w:top w:val="nil"/>
              <w:left w:val="nil"/>
              <w:bottom w:val="nil"/>
              <w:right w:val="single" w:sz="4" w:space="0" w:color="auto"/>
            </w:tcBorders>
            <w:noWrap/>
            <w:vAlign w:val="bottom"/>
            <w:hideMark/>
          </w:tcPr>
          <w:p w14:paraId="64E5E7B2"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45–54          </w:t>
            </w:r>
          </w:p>
        </w:tc>
        <w:tc>
          <w:tcPr>
            <w:tcW w:w="951" w:type="dxa"/>
            <w:tcBorders>
              <w:top w:val="nil"/>
              <w:left w:val="single" w:sz="4" w:space="0" w:color="auto"/>
              <w:bottom w:val="nil"/>
              <w:right w:val="nil"/>
            </w:tcBorders>
            <w:noWrap/>
            <w:vAlign w:val="bottom"/>
            <w:hideMark/>
          </w:tcPr>
          <w:p w14:paraId="2666F14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1.0372</w:t>
            </w:r>
          </w:p>
        </w:tc>
        <w:tc>
          <w:tcPr>
            <w:tcW w:w="806" w:type="dxa"/>
            <w:tcBorders>
              <w:top w:val="nil"/>
              <w:left w:val="nil"/>
              <w:bottom w:val="nil"/>
              <w:right w:val="single" w:sz="4" w:space="0" w:color="auto"/>
            </w:tcBorders>
            <w:noWrap/>
            <w:vAlign w:val="bottom"/>
            <w:hideMark/>
          </w:tcPr>
          <w:p w14:paraId="5642852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1.0953</w:t>
            </w:r>
          </w:p>
        </w:tc>
        <w:tc>
          <w:tcPr>
            <w:tcW w:w="794" w:type="dxa"/>
            <w:tcBorders>
              <w:top w:val="nil"/>
              <w:left w:val="single" w:sz="4" w:space="0" w:color="auto"/>
              <w:bottom w:val="nil"/>
              <w:right w:val="nil"/>
            </w:tcBorders>
            <w:noWrap/>
            <w:vAlign w:val="bottom"/>
            <w:hideMark/>
          </w:tcPr>
          <w:p w14:paraId="7850D0C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1.3913</w:t>
            </w:r>
          </w:p>
        </w:tc>
        <w:tc>
          <w:tcPr>
            <w:tcW w:w="798" w:type="dxa"/>
            <w:tcBorders>
              <w:top w:val="nil"/>
              <w:left w:val="nil"/>
              <w:bottom w:val="nil"/>
              <w:right w:val="single" w:sz="4" w:space="0" w:color="auto"/>
            </w:tcBorders>
            <w:noWrap/>
            <w:vAlign w:val="bottom"/>
            <w:hideMark/>
          </w:tcPr>
          <w:p w14:paraId="4F6707A3"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1.3916</w:t>
            </w:r>
          </w:p>
        </w:tc>
        <w:tc>
          <w:tcPr>
            <w:tcW w:w="810" w:type="dxa"/>
            <w:tcBorders>
              <w:top w:val="nil"/>
              <w:left w:val="single" w:sz="4" w:space="0" w:color="auto"/>
              <w:bottom w:val="nil"/>
              <w:right w:val="nil"/>
            </w:tcBorders>
            <w:noWrap/>
            <w:vAlign w:val="bottom"/>
            <w:hideMark/>
          </w:tcPr>
          <w:p w14:paraId="21EB2C7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1.1123</w:t>
            </w:r>
          </w:p>
        </w:tc>
        <w:tc>
          <w:tcPr>
            <w:tcW w:w="810" w:type="dxa"/>
            <w:tcBorders>
              <w:top w:val="nil"/>
              <w:left w:val="nil"/>
              <w:bottom w:val="nil"/>
              <w:right w:val="single" w:sz="4" w:space="0" w:color="auto"/>
            </w:tcBorders>
            <w:noWrap/>
            <w:vAlign w:val="bottom"/>
            <w:hideMark/>
          </w:tcPr>
          <w:p w14:paraId="561648D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1.0113</w:t>
            </w:r>
          </w:p>
        </w:tc>
        <w:tc>
          <w:tcPr>
            <w:tcW w:w="791" w:type="dxa"/>
            <w:tcBorders>
              <w:top w:val="nil"/>
              <w:left w:val="single" w:sz="4" w:space="0" w:color="auto"/>
              <w:bottom w:val="nil"/>
              <w:right w:val="nil"/>
            </w:tcBorders>
            <w:noWrap/>
            <w:vAlign w:val="bottom"/>
            <w:hideMark/>
          </w:tcPr>
          <w:p w14:paraId="17D545B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1.0019</w:t>
            </w:r>
          </w:p>
        </w:tc>
        <w:tc>
          <w:tcPr>
            <w:tcW w:w="818" w:type="dxa"/>
            <w:tcBorders>
              <w:top w:val="nil"/>
              <w:left w:val="nil"/>
              <w:bottom w:val="nil"/>
              <w:right w:val="single" w:sz="4" w:space="0" w:color="auto"/>
            </w:tcBorders>
            <w:noWrap/>
            <w:vAlign w:val="bottom"/>
            <w:hideMark/>
          </w:tcPr>
          <w:p w14:paraId="6BE16DFA"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0.9982</w:t>
            </w:r>
          </w:p>
        </w:tc>
        <w:tc>
          <w:tcPr>
            <w:tcW w:w="780" w:type="dxa"/>
            <w:tcBorders>
              <w:top w:val="nil"/>
              <w:left w:val="single" w:sz="4" w:space="0" w:color="auto"/>
              <w:bottom w:val="nil"/>
              <w:right w:val="nil"/>
            </w:tcBorders>
            <w:vAlign w:val="bottom"/>
          </w:tcPr>
          <w:p w14:paraId="70D01DE3" w14:textId="4756AED2"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0.9965</w:t>
            </w:r>
          </w:p>
        </w:tc>
        <w:tc>
          <w:tcPr>
            <w:tcW w:w="873" w:type="dxa"/>
            <w:tcBorders>
              <w:top w:val="nil"/>
              <w:left w:val="nil"/>
              <w:bottom w:val="nil"/>
            </w:tcBorders>
            <w:noWrap/>
            <w:vAlign w:val="bottom"/>
            <w:hideMark/>
          </w:tcPr>
          <w:p w14:paraId="70010228" w14:textId="53474933"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0.9976</w:t>
            </w:r>
          </w:p>
        </w:tc>
      </w:tr>
      <w:tr w:rsidR="00FE5F04" w:rsidRPr="00CC4BF6" w14:paraId="3B0760AD" w14:textId="77777777" w:rsidTr="23DBA195">
        <w:trPr>
          <w:trHeight w:val="300"/>
        </w:trPr>
        <w:tc>
          <w:tcPr>
            <w:tcW w:w="1157" w:type="dxa"/>
            <w:tcBorders>
              <w:top w:val="nil"/>
              <w:left w:val="nil"/>
              <w:right w:val="single" w:sz="4" w:space="0" w:color="auto"/>
            </w:tcBorders>
            <w:noWrap/>
            <w:vAlign w:val="bottom"/>
            <w:hideMark/>
          </w:tcPr>
          <w:p w14:paraId="70CB4D3F"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55–64          </w:t>
            </w:r>
          </w:p>
        </w:tc>
        <w:tc>
          <w:tcPr>
            <w:tcW w:w="951" w:type="dxa"/>
            <w:tcBorders>
              <w:top w:val="nil"/>
              <w:left w:val="single" w:sz="4" w:space="0" w:color="auto"/>
              <w:right w:val="nil"/>
            </w:tcBorders>
            <w:noWrap/>
            <w:vAlign w:val="bottom"/>
            <w:hideMark/>
          </w:tcPr>
          <w:p w14:paraId="60B24EE5"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1.0517</w:t>
            </w:r>
          </w:p>
        </w:tc>
        <w:tc>
          <w:tcPr>
            <w:tcW w:w="806" w:type="dxa"/>
            <w:tcBorders>
              <w:top w:val="nil"/>
              <w:left w:val="nil"/>
              <w:right w:val="single" w:sz="4" w:space="0" w:color="auto"/>
            </w:tcBorders>
            <w:noWrap/>
            <w:vAlign w:val="bottom"/>
            <w:hideMark/>
          </w:tcPr>
          <w:p w14:paraId="3389933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1.0659</w:t>
            </w:r>
          </w:p>
        </w:tc>
        <w:tc>
          <w:tcPr>
            <w:tcW w:w="794" w:type="dxa"/>
            <w:tcBorders>
              <w:top w:val="nil"/>
              <w:left w:val="single" w:sz="4" w:space="0" w:color="auto"/>
              <w:right w:val="nil"/>
            </w:tcBorders>
            <w:noWrap/>
            <w:vAlign w:val="bottom"/>
            <w:hideMark/>
          </w:tcPr>
          <w:p w14:paraId="6ADC4795"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1.4547</w:t>
            </w:r>
          </w:p>
        </w:tc>
        <w:tc>
          <w:tcPr>
            <w:tcW w:w="798" w:type="dxa"/>
            <w:tcBorders>
              <w:top w:val="nil"/>
              <w:left w:val="nil"/>
              <w:right w:val="single" w:sz="4" w:space="0" w:color="auto"/>
            </w:tcBorders>
            <w:noWrap/>
            <w:vAlign w:val="bottom"/>
            <w:hideMark/>
          </w:tcPr>
          <w:p w14:paraId="1FB3220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1.3917</w:t>
            </w:r>
          </w:p>
        </w:tc>
        <w:tc>
          <w:tcPr>
            <w:tcW w:w="810" w:type="dxa"/>
            <w:tcBorders>
              <w:top w:val="nil"/>
              <w:left w:val="single" w:sz="4" w:space="0" w:color="auto"/>
              <w:right w:val="nil"/>
            </w:tcBorders>
            <w:noWrap/>
            <w:vAlign w:val="bottom"/>
            <w:hideMark/>
          </w:tcPr>
          <w:p w14:paraId="02EEAB8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1.0694</w:t>
            </w:r>
          </w:p>
        </w:tc>
        <w:tc>
          <w:tcPr>
            <w:tcW w:w="810" w:type="dxa"/>
            <w:tcBorders>
              <w:top w:val="nil"/>
              <w:left w:val="nil"/>
              <w:right w:val="single" w:sz="4" w:space="0" w:color="auto"/>
            </w:tcBorders>
            <w:noWrap/>
            <w:vAlign w:val="bottom"/>
            <w:hideMark/>
          </w:tcPr>
          <w:p w14:paraId="1937F17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0.9784</w:t>
            </w:r>
          </w:p>
        </w:tc>
        <w:tc>
          <w:tcPr>
            <w:tcW w:w="791" w:type="dxa"/>
            <w:tcBorders>
              <w:top w:val="nil"/>
              <w:left w:val="single" w:sz="4" w:space="0" w:color="auto"/>
              <w:right w:val="nil"/>
            </w:tcBorders>
            <w:noWrap/>
            <w:vAlign w:val="bottom"/>
            <w:hideMark/>
          </w:tcPr>
          <w:p w14:paraId="56FAB9B3"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0.9965</w:t>
            </w:r>
          </w:p>
        </w:tc>
        <w:tc>
          <w:tcPr>
            <w:tcW w:w="818" w:type="dxa"/>
            <w:tcBorders>
              <w:top w:val="nil"/>
              <w:left w:val="nil"/>
              <w:right w:val="single" w:sz="4" w:space="0" w:color="auto"/>
            </w:tcBorders>
            <w:noWrap/>
            <w:vAlign w:val="bottom"/>
            <w:hideMark/>
          </w:tcPr>
          <w:p w14:paraId="6BB2E84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1.0046</w:t>
            </w:r>
          </w:p>
        </w:tc>
        <w:tc>
          <w:tcPr>
            <w:tcW w:w="780" w:type="dxa"/>
            <w:tcBorders>
              <w:top w:val="nil"/>
              <w:left w:val="single" w:sz="4" w:space="0" w:color="auto"/>
              <w:right w:val="nil"/>
            </w:tcBorders>
            <w:vAlign w:val="bottom"/>
          </w:tcPr>
          <w:p w14:paraId="522404F9" w14:textId="637D88A7"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0.9992</w:t>
            </w:r>
          </w:p>
        </w:tc>
        <w:tc>
          <w:tcPr>
            <w:tcW w:w="873" w:type="dxa"/>
            <w:tcBorders>
              <w:top w:val="nil"/>
              <w:left w:val="nil"/>
            </w:tcBorders>
            <w:noWrap/>
            <w:vAlign w:val="bottom"/>
            <w:hideMark/>
          </w:tcPr>
          <w:p w14:paraId="5EBE065F" w14:textId="7B179109"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0.9997</w:t>
            </w:r>
          </w:p>
        </w:tc>
      </w:tr>
      <w:tr w:rsidR="00FE5F04" w:rsidRPr="00CC4BF6" w14:paraId="33A00586" w14:textId="77777777" w:rsidTr="23DBA195">
        <w:trPr>
          <w:trHeight w:val="300"/>
        </w:trPr>
        <w:tc>
          <w:tcPr>
            <w:tcW w:w="1157" w:type="dxa"/>
            <w:tcBorders>
              <w:top w:val="nil"/>
              <w:left w:val="nil"/>
              <w:right w:val="single" w:sz="4" w:space="0" w:color="auto"/>
            </w:tcBorders>
            <w:noWrap/>
            <w:vAlign w:val="bottom"/>
            <w:hideMark/>
          </w:tcPr>
          <w:p w14:paraId="2514917C"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65–74          </w:t>
            </w:r>
          </w:p>
        </w:tc>
        <w:tc>
          <w:tcPr>
            <w:tcW w:w="951" w:type="dxa"/>
            <w:tcBorders>
              <w:top w:val="nil"/>
              <w:left w:val="single" w:sz="4" w:space="0" w:color="auto"/>
              <w:right w:val="nil"/>
            </w:tcBorders>
            <w:noWrap/>
            <w:vAlign w:val="bottom"/>
            <w:hideMark/>
          </w:tcPr>
          <w:p w14:paraId="17944E02"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1.0485</w:t>
            </w:r>
          </w:p>
        </w:tc>
        <w:tc>
          <w:tcPr>
            <w:tcW w:w="806" w:type="dxa"/>
            <w:tcBorders>
              <w:top w:val="nil"/>
              <w:left w:val="nil"/>
              <w:right w:val="single" w:sz="4" w:space="0" w:color="auto"/>
            </w:tcBorders>
            <w:noWrap/>
            <w:vAlign w:val="bottom"/>
            <w:hideMark/>
          </w:tcPr>
          <w:p w14:paraId="2F8153A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1.0072</w:t>
            </w:r>
          </w:p>
        </w:tc>
        <w:tc>
          <w:tcPr>
            <w:tcW w:w="794" w:type="dxa"/>
            <w:tcBorders>
              <w:top w:val="nil"/>
              <w:left w:val="single" w:sz="4" w:space="0" w:color="auto"/>
              <w:right w:val="nil"/>
            </w:tcBorders>
            <w:noWrap/>
            <w:vAlign w:val="bottom"/>
            <w:hideMark/>
          </w:tcPr>
          <w:p w14:paraId="4E778F6B"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1.4244</w:t>
            </w:r>
          </w:p>
        </w:tc>
        <w:tc>
          <w:tcPr>
            <w:tcW w:w="798" w:type="dxa"/>
            <w:tcBorders>
              <w:top w:val="nil"/>
              <w:left w:val="nil"/>
              <w:right w:val="single" w:sz="4" w:space="0" w:color="auto"/>
            </w:tcBorders>
            <w:noWrap/>
            <w:vAlign w:val="bottom"/>
            <w:hideMark/>
          </w:tcPr>
          <w:p w14:paraId="5BC5E3B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1.2980</w:t>
            </w:r>
          </w:p>
        </w:tc>
        <w:tc>
          <w:tcPr>
            <w:tcW w:w="810" w:type="dxa"/>
            <w:tcBorders>
              <w:top w:val="nil"/>
              <w:left w:val="single" w:sz="4" w:space="0" w:color="auto"/>
              <w:right w:val="nil"/>
            </w:tcBorders>
            <w:noWrap/>
            <w:vAlign w:val="bottom"/>
            <w:hideMark/>
          </w:tcPr>
          <w:p w14:paraId="012A1055"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1.0841</w:t>
            </w:r>
          </w:p>
        </w:tc>
        <w:tc>
          <w:tcPr>
            <w:tcW w:w="810" w:type="dxa"/>
            <w:tcBorders>
              <w:top w:val="nil"/>
              <w:left w:val="nil"/>
              <w:right w:val="single" w:sz="4" w:space="0" w:color="auto"/>
            </w:tcBorders>
            <w:noWrap/>
            <w:vAlign w:val="bottom"/>
            <w:hideMark/>
          </w:tcPr>
          <w:p w14:paraId="45C12E12"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1.0850</w:t>
            </w:r>
          </w:p>
        </w:tc>
        <w:tc>
          <w:tcPr>
            <w:tcW w:w="791" w:type="dxa"/>
            <w:tcBorders>
              <w:top w:val="nil"/>
              <w:left w:val="single" w:sz="4" w:space="0" w:color="auto"/>
              <w:right w:val="nil"/>
            </w:tcBorders>
            <w:noWrap/>
            <w:vAlign w:val="bottom"/>
            <w:hideMark/>
          </w:tcPr>
          <w:p w14:paraId="76DB6176"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1.0055</w:t>
            </w:r>
          </w:p>
        </w:tc>
        <w:tc>
          <w:tcPr>
            <w:tcW w:w="818" w:type="dxa"/>
            <w:tcBorders>
              <w:top w:val="nil"/>
              <w:left w:val="nil"/>
              <w:right w:val="single" w:sz="4" w:space="0" w:color="auto"/>
            </w:tcBorders>
            <w:noWrap/>
            <w:vAlign w:val="bottom"/>
            <w:hideMark/>
          </w:tcPr>
          <w:p w14:paraId="5936F01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1.0070</w:t>
            </w:r>
          </w:p>
        </w:tc>
        <w:tc>
          <w:tcPr>
            <w:tcW w:w="780" w:type="dxa"/>
            <w:tcBorders>
              <w:top w:val="nil"/>
              <w:left w:val="single" w:sz="4" w:space="0" w:color="auto"/>
              <w:right w:val="nil"/>
            </w:tcBorders>
            <w:vAlign w:val="bottom"/>
          </w:tcPr>
          <w:p w14:paraId="00AE90F0" w14:textId="61F04AC1"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0.9967</w:t>
            </w:r>
          </w:p>
        </w:tc>
        <w:tc>
          <w:tcPr>
            <w:tcW w:w="873" w:type="dxa"/>
            <w:tcBorders>
              <w:top w:val="nil"/>
              <w:left w:val="nil"/>
            </w:tcBorders>
            <w:noWrap/>
            <w:vAlign w:val="bottom"/>
            <w:hideMark/>
          </w:tcPr>
          <w:p w14:paraId="07E33CCC" w14:textId="4ADFA44A"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0.9966</w:t>
            </w:r>
          </w:p>
        </w:tc>
      </w:tr>
      <w:tr w:rsidR="00FE5F04" w:rsidRPr="00CC4BF6" w14:paraId="2C16DFC0" w14:textId="77777777" w:rsidTr="23DBA195">
        <w:trPr>
          <w:trHeight w:val="300"/>
        </w:trPr>
        <w:tc>
          <w:tcPr>
            <w:tcW w:w="1157" w:type="dxa"/>
            <w:tcBorders>
              <w:left w:val="nil"/>
              <w:bottom w:val="nil"/>
              <w:right w:val="single" w:sz="4" w:space="0" w:color="auto"/>
            </w:tcBorders>
            <w:noWrap/>
            <w:vAlign w:val="bottom"/>
            <w:hideMark/>
          </w:tcPr>
          <w:p w14:paraId="1D00ADFD"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75–84          </w:t>
            </w:r>
          </w:p>
        </w:tc>
        <w:tc>
          <w:tcPr>
            <w:tcW w:w="951" w:type="dxa"/>
            <w:tcBorders>
              <w:left w:val="single" w:sz="4" w:space="0" w:color="auto"/>
              <w:bottom w:val="nil"/>
              <w:right w:val="nil"/>
            </w:tcBorders>
            <w:noWrap/>
            <w:vAlign w:val="bottom"/>
            <w:hideMark/>
          </w:tcPr>
          <w:p w14:paraId="59AE52E2"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1.0188</w:t>
            </w:r>
          </w:p>
        </w:tc>
        <w:tc>
          <w:tcPr>
            <w:tcW w:w="806" w:type="dxa"/>
            <w:tcBorders>
              <w:left w:val="nil"/>
              <w:bottom w:val="nil"/>
              <w:right w:val="single" w:sz="4" w:space="0" w:color="auto"/>
            </w:tcBorders>
            <w:noWrap/>
            <w:vAlign w:val="bottom"/>
            <w:hideMark/>
          </w:tcPr>
          <w:p w14:paraId="0FAE91C1"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1.0196</w:t>
            </w:r>
          </w:p>
        </w:tc>
        <w:tc>
          <w:tcPr>
            <w:tcW w:w="794" w:type="dxa"/>
            <w:tcBorders>
              <w:left w:val="single" w:sz="4" w:space="0" w:color="auto"/>
              <w:bottom w:val="nil"/>
              <w:right w:val="nil"/>
            </w:tcBorders>
            <w:noWrap/>
            <w:vAlign w:val="bottom"/>
            <w:hideMark/>
          </w:tcPr>
          <w:p w14:paraId="079FC70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1.3367</w:t>
            </w:r>
          </w:p>
        </w:tc>
        <w:tc>
          <w:tcPr>
            <w:tcW w:w="798" w:type="dxa"/>
            <w:tcBorders>
              <w:left w:val="nil"/>
              <w:bottom w:val="nil"/>
              <w:right w:val="single" w:sz="4" w:space="0" w:color="auto"/>
            </w:tcBorders>
            <w:noWrap/>
            <w:vAlign w:val="bottom"/>
            <w:hideMark/>
          </w:tcPr>
          <w:p w14:paraId="17A3281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1.2852</w:t>
            </w:r>
          </w:p>
        </w:tc>
        <w:tc>
          <w:tcPr>
            <w:tcW w:w="810" w:type="dxa"/>
            <w:tcBorders>
              <w:left w:val="single" w:sz="4" w:space="0" w:color="auto"/>
              <w:bottom w:val="nil"/>
              <w:right w:val="nil"/>
            </w:tcBorders>
            <w:noWrap/>
            <w:vAlign w:val="bottom"/>
            <w:hideMark/>
          </w:tcPr>
          <w:p w14:paraId="386E6261"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1.0328</w:t>
            </w:r>
          </w:p>
        </w:tc>
        <w:tc>
          <w:tcPr>
            <w:tcW w:w="810" w:type="dxa"/>
            <w:tcBorders>
              <w:left w:val="nil"/>
              <w:bottom w:val="nil"/>
              <w:right w:val="single" w:sz="4" w:space="0" w:color="auto"/>
            </w:tcBorders>
            <w:noWrap/>
            <w:vAlign w:val="bottom"/>
            <w:hideMark/>
          </w:tcPr>
          <w:p w14:paraId="7DC0E95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1.0281</w:t>
            </w:r>
          </w:p>
        </w:tc>
        <w:tc>
          <w:tcPr>
            <w:tcW w:w="791" w:type="dxa"/>
            <w:tcBorders>
              <w:left w:val="single" w:sz="4" w:space="0" w:color="auto"/>
              <w:bottom w:val="nil"/>
              <w:right w:val="nil"/>
            </w:tcBorders>
            <w:noWrap/>
            <w:vAlign w:val="bottom"/>
            <w:hideMark/>
          </w:tcPr>
          <w:p w14:paraId="78C83C6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1.0057</w:t>
            </w:r>
          </w:p>
        </w:tc>
        <w:tc>
          <w:tcPr>
            <w:tcW w:w="818" w:type="dxa"/>
            <w:tcBorders>
              <w:left w:val="nil"/>
              <w:bottom w:val="nil"/>
              <w:right w:val="single" w:sz="4" w:space="0" w:color="auto"/>
            </w:tcBorders>
            <w:noWrap/>
            <w:vAlign w:val="bottom"/>
            <w:hideMark/>
          </w:tcPr>
          <w:p w14:paraId="34C2479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1.0058</w:t>
            </w:r>
          </w:p>
        </w:tc>
        <w:tc>
          <w:tcPr>
            <w:tcW w:w="780" w:type="dxa"/>
            <w:tcBorders>
              <w:left w:val="single" w:sz="4" w:space="0" w:color="auto"/>
              <w:bottom w:val="nil"/>
              <w:right w:val="nil"/>
            </w:tcBorders>
            <w:vAlign w:val="bottom"/>
          </w:tcPr>
          <w:p w14:paraId="10B3C34F" w14:textId="5A70B104"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1.0003</w:t>
            </w:r>
          </w:p>
        </w:tc>
        <w:tc>
          <w:tcPr>
            <w:tcW w:w="873" w:type="dxa"/>
            <w:tcBorders>
              <w:left w:val="nil"/>
              <w:bottom w:val="nil"/>
            </w:tcBorders>
            <w:noWrap/>
            <w:vAlign w:val="bottom"/>
            <w:hideMark/>
          </w:tcPr>
          <w:p w14:paraId="3292280A" w14:textId="43FB09CD"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1.0004</w:t>
            </w:r>
          </w:p>
        </w:tc>
      </w:tr>
      <w:tr w:rsidR="00FE5F04" w:rsidRPr="00CC4BF6" w14:paraId="686E4072" w14:textId="77777777" w:rsidTr="23DBA195">
        <w:trPr>
          <w:trHeight w:val="300"/>
        </w:trPr>
        <w:tc>
          <w:tcPr>
            <w:tcW w:w="1157" w:type="dxa"/>
            <w:tcBorders>
              <w:top w:val="nil"/>
              <w:left w:val="nil"/>
              <w:bottom w:val="nil"/>
              <w:right w:val="single" w:sz="4" w:space="0" w:color="auto"/>
            </w:tcBorders>
            <w:noWrap/>
            <w:vAlign w:val="bottom"/>
            <w:hideMark/>
          </w:tcPr>
          <w:p w14:paraId="0492939B" w14:textId="77777777"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 xml:space="preserve">85–94          </w:t>
            </w:r>
          </w:p>
        </w:tc>
        <w:tc>
          <w:tcPr>
            <w:tcW w:w="951" w:type="dxa"/>
            <w:tcBorders>
              <w:top w:val="nil"/>
              <w:left w:val="single" w:sz="4" w:space="0" w:color="auto"/>
              <w:bottom w:val="nil"/>
              <w:right w:val="nil"/>
            </w:tcBorders>
            <w:noWrap/>
            <w:vAlign w:val="bottom"/>
            <w:hideMark/>
          </w:tcPr>
          <w:p w14:paraId="49A5F64D"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1.0313</w:t>
            </w:r>
          </w:p>
        </w:tc>
        <w:tc>
          <w:tcPr>
            <w:tcW w:w="806" w:type="dxa"/>
            <w:tcBorders>
              <w:top w:val="nil"/>
              <w:left w:val="nil"/>
              <w:bottom w:val="nil"/>
              <w:right w:val="single" w:sz="4" w:space="0" w:color="auto"/>
            </w:tcBorders>
            <w:noWrap/>
            <w:vAlign w:val="bottom"/>
            <w:hideMark/>
          </w:tcPr>
          <w:p w14:paraId="7EE6B7F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1.0137</w:t>
            </w:r>
          </w:p>
        </w:tc>
        <w:tc>
          <w:tcPr>
            <w:tcW w:w="794" w:type="dxa"/>
            <w:tcBorders>
              <w:top w:val="nil"/>
              <w:left w:val="single" w:sz="4" w:space="0" w:color="auto"/>
              <w:bottom w:val="nil"/>
              <w:right w:val="nil"/>
            </w:tcBorders>
            <w:noWrap/>
            <w:vAlign w:val="bottom"/>
            <w:hideMark/>
          </w:tcPr>
          <w:p w14:paraId="12411996"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1.3807</w:t>
            </w:r>
          </w:p>
        </w:tc>
        <w:tc>
          <w:tcPr>
            <w:tcW w:w="798" w:type="dxa"/>
            <w:tcBorders>
              <w:top w:val="nil"/>
              <w:left w:val="nil"/>
              <w:bottom w:val="nil"/>
              <w:right w:val="single" w:sz="4" w:space="0" w:color="auto"/>
            </w:tcBorders>
            <w:noWrap/>
            <w:vAlign w:val="bottom"/>
            <w:hideMark/>
          </w:tcPr>
          <w:p w14:paraId="667F5A0B"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1.3870</w:t>
            </w:r>
          </w:p>
        </w:tc>
        <w:tc>
          <w:tcPr>
            <w:tcW w:w="810" w:type="dxa"/>
            <w:tcBorders>
              <w:top w:val="nil"/>
              <w:left w:val="single" w:sz="4" w:space="0" w:color="auto"/>
              <w:bottom w:val="nil"/>
              <w:right w:val="nil"/>
            </w:tcBorders>
            <w:noWrap/>
            <w:vAlign w:val="bottom"/>
            <w:hideMark/>
          </w:tcPr>
          <w:p w14:paraId="3FF09FEB"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0.9983</w:t>
            </w:r>
          </w:p>
        </w:tc>
        <w:tc>
          <w:tcPr>
            <w:tcW w:w="810" w:type="dxa"/>
            <w:tcBorders>
              <w:top w:val="nil"/>
              <w:left w:val="nil"/>
              <w:bottom w:val="nil"/>
              <w:right w:val="single" w:sz="4" w:space="0" w:color="auto"/>
            </w:tcBorders>
            <w:noWrap/>
            <w:vAlign w:val="bottom"/>
            <w:hideMark/>
          </w:tcPr>
          <w:p w14:paraId="0D33C8E6"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0.9944</w:t>
            </w:r>
          </w:p>
        </w:tc>
        <w:tc>
          <w:tcPr>
            <w:tcW w:w="791" w:type="dxa"/>
            <w:tcBorders>
              <w:top w:val="nil"/>
              <w:left w:val="single" w:sz="4" w:space="0" w:color="auto"/>
              <w:bottom w:val="nil"/>
              <w:right w:val="nil"/>
            </w:tcBorders>
            <w:noWrap/>
            <w:vAlign w:val="bottom"/>
            <w:hideMark/>
          </w:tcPr>
          <w:p w14:paraId="4DF393C8"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1.0155</w:t>
            </w:r>
          </w:p>
        </w:tc>
        <w:tc>
          <w:tcPr>
            <w:tcW w:w="818" w:type="dxa"/>
            <w:tcBorders>
              <w:top w:val="nil"/>
              <w:left w:val="nil"/>
              <w:bottom w:val="nil"/>
              <w:right w:val="single" w:sz="4" w:space="0" w:color="auto"/>
            </w:tcBorders>
            <w:noWrap/>
            <w:vAlign w:val="bottom"/>
            <w:hideMark/>
          </w:tcPr>
          <w:p w14:paraId="1479420A"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1.0086</w:t>
            </w:r>
          </w:p>
        </w:tc>
        <w:tc>
          <w:tcPr>
            <w:tcW w:w="780" w:type="dxa"/>
            <w:tcBorders>
              <w:top w:val="nil"/>
              <w:left w:val="single" w:sz="4" w:space="0" w:color="auto"/>
              <w:bottom w:val="nil"/>
              <w:right w:val="nil"/>
            </w:tcBorders>
            <w:vAlign w:val="bottom"/>
          </w:tcPr>
          <w:p w14:paraId="6BF60617" w14:textId="3043DDAA"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1.0007</w:t>
            </w:r>
          </w:p>
        </w:tc>
        <w:tc>
          <w:tcPr>
            <w:tcW w:w="873" w:type="dxa"/>
            <w:tcBorders>
              <w:top w:val="nil"/>
              <w:left w:val="nil"/>
              <w:bottom w:val="nil"/>
            </w:tcBorders>
            <w:noWrap/>
            <w:vAlign w:val="bottom"/>
            <w:hideMark/>
          </w:tcPr>
          <w:p w14:paraId="411F4A32" w14:textId="5B5877BA"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1.0009</w:t>
            </w:r>
          </w:p>
        </w:tc>
      </w:tr>
      <w:tr w:rsidR="00FE5F04" w:rsidRPr="00CC4BF6" w14:paraId="056AC793" w14:textId="77777777" w:rsidTr="23DBA195">
        <w:trPr>
          <w:trHeight w:val="300"/>
        </w:trPr>
        <w:tc>
          <w:tcPr>
            <w:tcW w:w="1157" w:type="dxa"/>
            <w:tcBorders>
              <w:top w:val="nil"/>
              <w:left w:val="nil"/>
              <w:bottom w:val="single" w:sz="4" w:space="0" w:color="000000" w:themeColor="text1"/>
              <w:right w:val="single" w:sz="4" w:space="0" w:color="auto"/>
            </w:tcBorders>
            <w:noWrap/>
            <w:vAlign w:val="bottom"/>
            <w:hideMark/>
          </w:tcPr>
          <w:p w14:paraId="68AB3EE9" w14:textId="0E176F9E" w:rsidR="00FE5F04" w:rsidRPr="00CC4BF6" w:rsidRDefault="00FE5F04" w:rsidP="00E80E6C">
            <w:pPr>
              <w:spacing w:after="0" w:line="240" w:lineRule="auto"/>
              <w:rPr>
                <w:rFonts w:eastAsia="Times New Roman" w:cstheme="minorHAnsi"/>
                <w:sz w:val="18"/>
                <w:szCs w:val="18"/>
              </w:rPr>
            </w:pPr>
            <w:r w:rsidRPr="00CC4BF6">
              <w:rPr>
                <w:rFonts w:eastAsia="Times New Roman" w:cstheme="minorHAnsi"/>
                <w:sz w:val="18"/>
                <w:szCs w:val="18"/>
              </w:rPr>
              <w:t>95</w:t>
            </w:r>
            <w:r w:rsidRPr="00E80E6C">
              <w:rPr>
                <w:rFonts w:eastAsia="Times New Roman" w:cstheme="minorHAnsi"/>
                <w:sz w:val="18"/>
                <w:szCs w:val="18"/>
              </w:rPr>
              <w:t xml:space="preserve"> +</w:t>
            </w:r>
            <w:r w:rsidRPr="00CC4BF6">
              <w:rPr>
                <w:rFonts w:eastAsia="Times New Roman" w:cstheme="minorHAnsi"/>
                <w:sz w:val="18"/>
                <w:szCs w:val="18"/>
              </w:rPr>
              <w:t xml:space="preserve">    </w:t>
            </w:r>
          </w:p>
        </w:tc>
        <w:tc>
          <w:tcPr>
            <w:tcW w:w="951" w:type="dxa"/>
            <w:tcBorders>
              <w:top w:val="nil"/>
              <w:left w:val="single" w:sz="4" w:space="0" w:color="auto"/>
              <w:bottom w:val="single" w:sz="4" w:space="0" w:color="000000" w:themeColor="text1"/>
              <w:right w:val="nil"/>
            </w:tcBorders>
            <w:noWrap/>
            <w:vAlign w:val="bottom"/>
            <w:hideMark/>
          </w:tcPr>
          <w:p w14:paraId="741B170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1.0509</w:t>
            </w:r>
          </w:p>
        </w:tc>
        <w:tc>
          <w:tcPr>
            <w:tcW w:w="806" w:type="dxa"/>
            <w:tcBorders>
              <w:top w:val="nil"/>
              <w:left w:val="nil"/>
              <w:bottom w:val="single" w:sz="4" w:space="0" w:color="000000" w:themeColor="text1"/>
              <w:right w:val="single" w:sz="4" w:space="0" w:color="auto"/>
            </w:tcBorders>
            <w:noWrap/>
            <w:vAlign w:val="bottom"/>
            <w:hideMark/>
          </w:tcPr>
          <w:p w14:paraId="4E506A3F"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1.0842</w:t>
            </w:r>
          </w:p>
        </w:tc>
        <w:tc>
          <w:tcPr>
            <w:tcW w:w="794" w:type="dxa"/>
            <w:tcBorders>
              <w:top w:val="nil"/>
              <w:left w:val="single" w:sz="4" w:space="0" w:color="auto"/>
              <w:bottom w:val="single" w:sz="4" w:space="0" w:color="000000" w:themeColor="text1"/>
              <w:right w:val="nil"/>
            </w:tcBorders>
            <w:noWrap/>
            <w:vAlign w:val="bottom"/>
            <w:hideMark/>
          </w:tcPr>
          <w:p w14:paraId="3537EF80"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1.3043</w:t>
            </w:r>
          </w:p>
        </w:tc>
        <w:tc>
          <w:tcPr>
            <w:tcW w:w="798" w:type="dxa"/>
            <w:tcBorders>
              <w:top w:val="nil"/>
              <w:left w:val="nil"/>
              <w:bottom w:val="single" w:sz="4" w:space="0" w:color="000000" w:themeColor="text1"/>
              <w:right w:val="single" w:sz="4" w:space="0" w:color="auto"/>
            </w:tcBorders>
            <w:noWrap/>
            <w:vAlign w:val="bottom"/>
            <w:hideMark/>
          </w:tcPr>
          <w:p w14:paraId="3DEBBFC4"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1.4240</w:t>
            </w:r>
          </w:p>
        </w:tc>
        <w:tc>
          <w:tcPr>
            <w:tcW w:w="810" w:type="dxa"/>
            <w:tcBorders>
              <w:top w:val="nil"/>
              <w:left w:val="single" w:sz="4" w:space="0" w:color="auto"/>
              <w:bottom w:val="single" w:sz="4" w:space="0" w:color="000000" w:themeColor="text1"/>
              <w:right w:val="nil"/>
            </w:tcBorders>
            <w:noWrap/>
            <w:vAlign w:val="bottom"/>
            <w:hideMark/>
          </w:tcPr>
          <w:p w14:paraId="68A3C76B"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1.0238</w:t>
            </w:r>
          </w:p>
        </w:tc>
        <w:tc>
          <w:tcPr>
            <w:tcW w:w="810" w:type="dxa"/>
            <w:tcBorders>
              <w:top w:val="nil"/>
              <w:left w:val="nil"/>
              <w:bottom w:val="single" w:sz="4" w:space="0" w:color="000000" w:themeColor="text1"/>
              <w:right w:val="single" w:sz="4" w:space="0" w:color="auto"/>
            </w:tcBorders>
            <w:noWrap/>
            <w:vAlign w:val="bottom"/>
            <w:hideMark/>
          </w:tcPr>
          <w:p w14:paraId="6E2631AE"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0.9405</w:t>
            </w:r>
          </w:p>
        </w:tc>
        <w:tc>
          <w:tcPr>
            <w:tcW w:w="791" w:type="dxa"/>
            <w:tcBorders>
              <w:top w:val="nil"/>
              <w:left w:val="single" w:sz="4" w:space="0" w:color="auto"/>
              <w:bottom w:val="single" w:sz="4" w:space="0" w:color="000000" w:themeColor="text1"/>
              <w:right w:val="nil"/>
            </w:tcBorders>
            <w:noWrap/>
            <w:vAlign w:val="bottom"/>
            <w:hideMark/>
          </w:tcPr>
          <w:p w14:paraId="7EEBBB0C"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0.9872</w:t>
            </w:r>
          </w:p>
        </w:tc>
        <w:tc>
          <w:tcPr>
            <w:tcW w:w="818" w:type="dxa"/>
            <w:tcBorders>
              <w:top w:val="nil"/>
              <w:left w:val="nil"/>
              <w:bottom w:val="single" w:sz="4" w:space="0" w:color="000000" w:themeColor="text1"/>
              <w:right w:val="single" w:sz="4" w:space="0" w:color="auto"/>
            </w:tcBorders>
            <w:noWrap/>
            <w:vAlign w:val="bottom"/>
            <w:hideMark/>
          </w:tcPr>
          <w:p w14:paraId="3473CAC6" w14:textId="77777777"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0.9954</w:t>
            </w:r>
          </w:p>
        </w:tc>
        <w:tc>
          <w:tcPr>
            <w:tcW w:w="780" w:type="dxa"/>
            <w:tcBorders>
              <w:top w:val="nil"/>
              <w:left w:val="single" w:sz="4" w:space="0" w:color="auto"/>
              <w:bottom w:val="single" w:sz="4" w:space="0" w:color="000000" w:themeColor="text1"/>
              <w:right w:val="nil"/>
            </w:tcBorders>
            <w:vAlign w:val="bottom"/>
          </w:tcPr>
          <w:p w14:paraId="3FA396A9" w14:textId="369B9C39" w:rsidR="00FE5F04" w:rsidRPr="00E80E6C" w:rsidRDefault="00FE5F04" w:rsidP="00E80E6C">
            <w:pPr>
              <w:spacing w:after="0" w:line="240" w:lineRule="auto"/>
              <w:jc w:val="right"/>
              <w:rPr>
                <w:rFonts w:eastAsia="Times New Roman" w:cstheme="minorHAnsi"/>
                <w:sz w:val="18"/>
                <w:szCs w:val="18"/>
              </w:rPr>
            </w:pPr>
            <w:r w:rsidRPr="00E80E6C">
              <w:rPr>
                <w:rFonts w:cstheme="minorHAnsi"/>
                <w:sz w:val="18"/>
                <w:szCs w:val="18"/>
              </w:rPr>
              <w:t>0.9995</w:t>
            </w:r>
          </w:p>
        </w:tc>
        <w:tc>
          <w:tcPr>
            <w:tcW w:w="873" w:type="dxa"/>
            <w:tcBorders>
              <w:top w:val="nil"/>
              <w:left w:val="nil"/>
              <w:bottom w:val="single" w:sz="4" w:space="0" w:color="000000" w:themeColor="text1"/>
            </w:tcBorders>
            <w:noWrap/>
            <w:vAlign w:val="bottom"/>
            <w:hideMark/>
          </w:tcPr>
          <w:p w14:paraId="18B8D25C" w14:textId="5854934B" w:rsidR="00FE5F04" w:rsidRPr="00CC4BF6" w:rsidRDefault="00FE5F04" w:rsidP="00E80E6C">
            <w:pPr>
              <w:spacing w:after="0" w:line="240" w:lineRule="auto"/>
              <w:jc w:val="right"/>
              <w:rPr>
                <w:rFonts w:eastAsia="Times New Roman" w:cstheme="minorHAnsi"/>
                <w:sz w:val="18"/>
                <w:szCs w:val="18"/>
              </w:rPr>
            </w:pPr>
            <w:r w:rsidRPr="00CC4BF6">
              <w:rPr>
                <w:rFonts w:eastAsia="Times New Roman" w:cstheme="minorHAnsi"/>
                <w:sz w:val="18"/>
                <w:szCs w:val="18"/>
              </w:rPr>
              <w:t>1.0008</w:t>
            </w:r>
          </w:p>
        </w:tc>
      </w:tr>
    </w:tbl>
    <w:p w14:paraId="205E8490" w14:textId="17CB7E84" w:rsidR="009E4B5D" w:rsidRDefault="009E4B5D">
      <w:pPr>
        <w:rPr>
          <w:rFonts w:asciiTheme="majorHAnsi" w:eastAsiaTheme="majorEastAsia" w:hAnsiTheme="majorHAnsi" w:cstheme="majorBidi"/>
          <w:color w:val="1F3763" w:themeColor="accent1" w:themeShade="7F"/>
          <w:sz w:val="24"/>
          <w:szCs w:val="24"/>
        </w:rPr>
      </w:pPr>
    </w:p>
    <w:sectPr w:rsidR="009E4B5D" w:rsidSect="00760C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98C95" w14:textId="77777777" w:rsidR="00A80B6B" w:rsidRDefault="00A80B6B" w:rsidP="001949EA">
      <w:pPr>
        <w:spacing w:after="0" w:line="240" w:lineRule="auto"/>
      </w:pPr>
      <w:r>
        <w:separator/>
      </w:r>
    </w:p>
  </w:endnote>
  <w:endnote w:type="continuationSeparator" w:id="0">
    <w:p w14:paraId="7095E37B" w14:textId="77777777" w:rsidR="00A80B6B" w:rsidRDefault="00A80B6B" w:rsidP="0019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5E0D9" w14:textId="6A529345" w:rsidR="00A8346F" w:rsidRDefault="00A8346F">
    <w:pPr>
      <w:pStyle w:val="Footer"/>
      <w:jc w:val="center"/>
    </w:pPr>
  </w:p>
  <w:p w14:paraId="39F6A31E" w14:textId="77777777" w:rsidR="00E263B0" w:rsidRDefault="00E26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350694"/>
      <w:docPartObj>
        <w:docPartGallery w:val="Page Numbers (Bottom of Page)"/>
        <w:docPartUnique/>
      </w:docPartObj>
    </w:sdtPr>
    <w:sdtEndPr>
      <w:rPr>
        <w:noProof/>
      </w:rPr>
    </w:sdtEndPr>
    <w:sdtContent>
      <w:p w14:paraId="1BACF8B3" w14:textId="5D1D6C87" w:rsidR="00A8346F" w:rsidRDefault="00A834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53075E" w14:textId="77777777" w:rsidR="00A8346F" w:rsidRDefault="00A83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E6A44" w14:textId="77777777" w:rsidR="00A80B6B" w:rsidRDefault="00A80B6B" w:rsidP="001949EA">
      <w:pPr>
        <w:spacing w:after="0" w:line="240" w:lineRule="auto"/>
      </w:pPr>
      <w:r>
        <w:separator/>
      </w:r>
    </w:p>
  </w:footnote>
  <w:footnote w:type="continuationSeparator" w:id="0">
    <w:p w14:paraId="0695C471" w14:textId="77777777" w:rsidR="00A80B6B" w:rsidRDefault="00A80B6B" w:rsidP="001949EA">
      <w:pPr>
        <w:spacing w:after="0" w:line="240" w:lineRule="auto"/>
      </w:pPr>
      <w:r>
        <w:continuationSeparator/>
      </w:r>
    </w:p>
  </w:footnote>
  <w:footnote w:id="1">
    <w:p w14:paraId="4C155497" w14:textId="596D5140" w:rsidR="001949EA" w:rsidRDefault="001949EA">
      <w:pPr>
        <w:pStyle w:val="FootnoteText"/>
      </w:pPr>
      <w:r>
        <w:rPr>
          <w:rStyle w:val="FootnoteReference"/>
        </w:rPr>
        <w:footnoteRef/>
      </w:r>
      <w:r>
        <w:t xml:space="preserve"> These and all following calculations are carried out at a county level and for </w:t>
      </w:r>
      <w:r w:rsidR="00140385" w:rsidRPr="00140385">
        <w:t>single</w:t>
      </w:r>
      <w:r w:rsidRPr="00140385">
        <w:t>-year</w:t>
      </w:r>
      <w:r>
        <w:t xml:space="preserve"> age cohorts from age 0 through </w:t>
      </w:r>
      <w:r w:rsidR="00140385">
        <w:t>8</w:t>
      </w:r>
      <w:r>
        <w:t>4</w:t>
      </w:r>
      <w:r w:rsidR="00C00D50">
        <w:t>,</w:t>
      </w:r>
      <w:r>
        <w:t xml:space="preserve"> and </w:t>
      </w:r>
      <w:r w:rsidR="00C00D50">
        <w:t xml:space="preserve">then </w:t>
      </w:r>
      <w:r w:rsidR="00140385">
        <w:t>8</w:t>
      </w:r>
      <w:r>
        <w:t>5 and over.</w:t>
      </w:r>
      <w:r w:rsidR="00D94A41">
        <w:t xml:space="preserve"> Subscripts for geography and age group are omitted from the formulas to improve readability.</w:t>
      </w:r>
    </w:p>
  </w:footnote>
  <w:footnote w:id="2">
    <w:p w14:paraId="594F5896" w14:textId="6432E58C" w:rsidR="006A5FE0" w:rsidRDefault="006A5FE0" w:rsidP="006A5FE0">
      <w:pPr>
        <w:pStyle w:val="FootnoteText"/>
      </w:pPr>
      <w:r w:rsidRPr="72D6C981">
        <w:rPr>
          <w:rStyle w:val="FootnoteReference"/>
        </w:rPr>
        <w:footnoteRef/>
      </w:r>
      <w:r>
        <w:t xml:space="preserve"> For a fuller discussion of limitations associated with net migration estimates, see Rogers (1990)</w:t>
      </w:r>
      <w:r w:rsidR="00370D3E">
        <w:t xml:space="preserve"> and Plane and Rogerson (1991)</w:t>
      </w:r>
      <w:r>
        <w:t>.</w:t>
      </w:r>
    </w:p>
  </w:footnote>
  <w:footnote w:id="3">
    <w:p w14:paraId="0235175D" w14:textId="58F638A3" w:rsidR="004C5A26" w:rsidRDefault="004C5A26" w:rsidP="004C5A26">
      <w:pPr>
        <w:pStyle w:val="FootnoteText"/>
      </w:pPr>
      <w:r w:rsidRPr="72D6C981">
        <w:rPr>
          <w:rStyle w:val="FootnoteReference"/>
        </w:rPr>
        <w:footnoteRef/>
      </w:r>
      <w:r>
        <w:t xml:space="preserve"> Only total net migration estimates (no estimates by </w:t>
      </w:r>
      <w:proofErr w:type="spellStart"/>
      <w:r w:rsidR="00BD186C">
        <w:t>ethnoracial</w:t>
      </w:r>
      <w:proofErr w:type="spellEnd"/>
      <w:r>
        <w:t xml:space="preserve"> categories) are available for the 1980s.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6D84"/>
    <w:multiLevelType w:val="hybridMultilevel"/>
    <w:tmpl w:val="3FBC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111FA"/>
    <w:multiLevelType w:val="hybridMultilevel"/>
    <w:tmpl w:val="8D1E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A5B75"/>
    <w:multiLevelType w:val="hybridMultilevel"/>
    <w:tmpl w:val="DE62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E6E92"/>
    <w:multiLevelType w:val="hybridMultilevel"/>
    <w:tmpl w:val="5888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B4AFA"/>
    <w:multiLevelType w:val="hybridMultilevel"/>
    <w:tmpl w:val="ECE0D7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434C2"/>
    <w:multiLevelType w:val="hybridMultilevel"/>
    <w:tmpl w:val="7F80E816"/>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309A9"/>
    <w:multiLevelType w:val="hybridMultilevel"/>
    <w:tmpl w:val="ACC4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21507"/>
    <w:multiLevelType w:val="hybridMultilevel"/>
    <w:tmpl w:val="C3F4D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B256A"/>
    <w:multiLevelType w:val="hybridMultilevel"/>
    <w:tmpl w:val="3976E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10558A"/>
    <w:multiLevelType w:val="hybridMultilevel"/>
    <w:tmpl w:val="A482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555549">
    <w:abstractNumId w:val="4"/>
  </w:num>
  <w:num w:numId="2" w16cid:durableId="862018709">
    <w:abstractNumId w:val="3"/>
  </w:num>
  <w:num w:numId="3" w16cid:durableId="176775885">
    <w:abstractNumId w:val="9"/>
  </w:num>
  <w:num w:numId="4" w16cid:durableId="519587904">
    <w:abstractNumId w:val="2"/>
  </w:num>
  <w:num w:numId="5" w16cid:durableId="1968584416">
    <w:abstractNumId w:val="7"/>
  </w:num>
  <w:num w:numId="6" w16cid:durableId="415202033">
    <w:abstractNumId w:val="8"/>
  </w:num>
  <w:num w:numId="7" w16cid:durableId="1364474492">
    <w:abstractNumId w:val="0"/>
  </w:num>
  <w:num w:numId="8" w16cid:durableId="2138178439">
    <w:abstractNumId w:val="6"/>
  </w:num>
  <w:num w:numId="9" w16cid:durableId="1739087606">
    <w:abstractNumId w:val="5"/>
  </w:num>
  <w:num w:numId="10" w16cid:durableId="72845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48"/>
    <w:rsid w:val="000266B7"/>
    <w:rsid w:val="000352FC"/>
    <w:rsid w:val="00052F7A"/>
    <w:rsid w:val="00061589"/>
    <w:rsid w:val="0007113F"/>
    <w:rsid w:val="00086678"/>
    <w:rsid w:val="000B684C"/>
    <w:rsid w:val="000C527A"/>
    <w:rsid w:val="000C55F6"/>
    <w:rsid w:val="000C7796"/>
    <w:rsid w:val="000E7F26"/>
    <w:rsid w:val="000F0686"/>
    <w:rsid w:val="000F4BE0"/>
    <w:rsid w:val="000F710B"/>
    <w:rsid w:val="00133ACF"/>
    <w:rsid w:val="001350BC"/>
    <w:rsid w:val="00140385"/>
    <w:rsid w:val="0015521D"/>
    <w:rsid w:val="001733C6"/>
    <w:rsid w:val="00174854"/>
    <w:rsid w:val="001949EA"/>
    <w:rsid w:val="00194DB5"/>
    <w:rsid w:val="001958B8"/>
    <w:rsid w:val="001B040B"/>
    <w:rsid w:val="001B543E"/>
    <w:rsid w:val="001B5EF6"/>
    <w:rsid w:val="001C3F7D"/>
    <w:rsid w:val="001D2B33"/>
    <w:rsid w:val="001F5887"/>
    <w:rsid w:val="00200AC1"/>
    <w:rsid w:val="00201432"/>
    <w:rsid w:val="00206903"/>
    <w:rsid w:val="00260C0F"/>
    <w:rsid w:val="0027523C"/>
    <w:rsid w:val="002872EB"/>
    <w:rsid w:val="002A1693"/>
    <w:rsid w:val="002A304C"/>
    <w:rsid w:val="002B0747"/>
    <w:rsid w:val="002B39E8"/>
    <w:rsid w:val="002D0AF4"/>
    <w:rsid w:val="002D2096"/>
    <w:rsid w:val="003062DC"/>
    <w:rsid w:val="003072DC"/>
    <w:rsid w:val="00322170"/>
    <w:rsid w:val="00343CFD"/>
    <w:rsid w:val="003567E0"/>
    <w:rsid w:val="00370A56"/>
    <w:rsid w:val="00370D3E"/>
    <w:rsid w:val="00382654"/>
    <w:rsid w:val="003834B1"/>
    <w:rsid w:val="0038679F"/>
    <w:rsid w:val="003D2DBD"/>
    <w:rsid w:val="003F053E"/>
    <w:rsid w:val="003F30F3"/>
    <w:rsid w:val="0042290D"/>
    <w:rsid w:val="00423967"/>
    <w:rsid w:val="00427C1B"/>
    <w:rsid w:val="0044636C"/>
    <w:rsid w:val="00464554"/>
    <w:rsid w:val="0048390A"/>
    <w:rsid w:val="00495069"/>
    <w:rsid w:val="004974C5"/>
    <w:rsid w:val="004C5A26"/>
    <w:rsid w:val="004D1A5C"/>
    <w:rsid w:val="004E41B3"/>
    <w:rsid w:val="00515211"/>
    <w:rsid w:val="00523B39"/>
    <w:rsid w:val="00530A62"/>
    <w:rsid w:val="005443B8"/>
    <w:rsid w:val="00574D3E"/>
    <w:rsid w:val="00584858"/>
    <w:rsid w:val="005878FA"/>
    <w:rsid w:val="00593358"/>
    <w:rsid w:val="0059700F"/>
    <w:rsid w:val="005A5073"/>
    <w:rsid w:val="005B124F"/>
    <w:rsid w:val="005B4E73"/>
    <w:rsid w:val="005C4D21"/>
    <w:rsid w:val="005D26B0"/>
    <w:rsid w:val="005F2C50"/>
    <w:rsid w:val="005F63D6"/>
    <w:rsid w:val="00600BCA"/>
    <w:rsid w:val="0060193B"/>
    <w:rsid w:val="006136F7"/>
    <w:rsid w:val="00626D7D"/>
    <w:rsid w:val="0064051E"/>
    <w:rsid w:val="00640578"/>
    <w:rsid w:val="00653BE6"/>
    <w:rsid w:val="00660EDA"/>
    <w:rsid w:val="00662402"/>
    <w:rsid w:val="00670C4B"/>
    <w:rsid w:val="006721EA"/>
    <w:rsid w:val="00697C44"/>
    <w:rsid w:val="006A5BB0"/>
    <w:rsid w:val="006A5FE0"/>
    <w:rsid w:val="006A61E1"/>
    <w:rsid w:val="006A6B06"/>
    <w:rsid w:val="006A707A"/>
    <w:rsid w:val="006B1528"/>
    <w:rsid w:val="006C12C8"/>
    <w:rsid w:val="006D37CD"/>
    <w:rsid w:val="006F6CA7"/>
    <w:rsid w:val="00703530"/>
    <w:rsid w:val="00705946"/>
    <w:rsid w:val="007100AA"/>
    <w:rsid w:val="00714531"/>
    <w:rsid w:val="0072220A"/>
    <w:rsid w:val="00725200"/>
    <w:rsid w:val="0073016B"/>
    <w:rsid w:val="0073666D"/>
    <w:rsid w:val="0074733B"/>
    <w:rsid w:val="007569F4"/>
    <w:rsid w:val="00760C99"/>
    <w:rsid w:val="0076163E"/>
    <w:rsid w:val="00763924"/>
    <w:rsid w:val="00767618"/>
    <w:rsid w:val="00775EE4"/>
    <w:rsid w:val="00785E59"/>
    <w:rsid w:val="00793A1F"/>
    <w:rsid w:val="007B3575"/>
    <w:rsid w:val="007C37F2"/>
    <w:rsid w:val="007C4372"/>
    <w:rsid w:val="007C4979"/>
    <w:rsid w:val="007C561F"/>
    <w:rsid w:val="007D2060"/>
    <w:rsid w:val="007E5BB2"/>
    <w:rsid w:val="007F1CF0"/>
    <w:rsid w:val="00830033"/>
    <w:rsid w:val="00834499"/>
    <w:rsid w:val="00841DD3"/>
    <w:rsid w:val="008440B6"/>
    <w:rsid w:val="00846548"/>
    <w:rsid w:val="00850410"/>
    <w:rsid w:val="00861AA2"/>
    <w:rsid w:val="008753D8"/>
    <w:rsid w:val="00892E43"/>
    <w:rsid w:val="00896500"/>
    <w:rsid w:val="008A3BF5"/>
    <w:rsid w:val="008B30C0"/>
    <w:rsid w:val="008B652F"/>
    <w:rsid w:val="008C1DC8"/>
    <w:rsid w:val="008F09C1"/>
    <w:rsid w:val="008F0A16"/>
    <w:rsid w:val="008F132C"/>
    <w:rsid w:val="00916769"/>
    <w:rsid w:val="00926543"/>
    <w:rsid w:val="00932F96"/>
    <w:rsid w:val="00937685"/>
    <w:rsid w:val="00960B69"/>
    <w:rsid w:val="009615D9"/>
    <w:rsid w:val="00997EA4"/>
    <w:rsid w:val="009B56AB"/>
    <w:rsid w:val="009C3C75"/>
    <w:rsid w:val="009D0541"/>
    <w:rsid w:val="009D10C0"/>
    <w:rsid w:val="009D1574"/>
    <w:rsid w:val="009E1854"/>
    <w:rsid w:val="009E4B5D"/>
    <w:rsid w:val="009F3C24"/>
    <w:rsid w:val="00A07962"/>
    <w:rsid w:val="00A20E99"/>
    <w:rsid w:val="00A25CBA"/>
    <w:rsid w:val="00A26126"/>
    <w:rsid w:val="00A43246"/>
    <w:rsid w:val="00A466DE"/>
    <w:rsid w:val="00A80B6B"/>
    <w:rsid w:val="00A8346F"/>
    <w:rsid w:val="00A96EBD"/>
    <w:rsid w:val="00AA2ED0"/>
    <w:rsid w:val="00AB3B48"/>
    <w:rsid w:val="00AC4A61"/>
    <w:rsid w:val="00AC752F"/>
    <w:rsid w:val="00AD0CD6"/>
    <w:rsid w:val="00AE0277"/>
    <w:rsid w:val="00AF47CF"/>
    <w:rsid w:val="00B006B4"/>
    <w:rsid w:val="00B03033"/>
    <w:rsid w:val="00B2179B"/>
    <w:rsid w:val="00B2500B"/>
    <w:rsid w:val="00B3096A"/>
    <w:rsid w:val="00B36D5D"/>
    <w:rsid w:val="00B61624"/>
    <w:rsid w:val="00B72E6B"/>
    <w:rsid w:val="00B84EDD"/>
    <w:rsid w:val="00B92584"/>
    <w:rsid w:val="00BA490D"/>
    <w:rsid w:val="00BB2F58"/>
    <w:rsid w:val="00BD186C"/>
    <w:rsid w:val="00BE6145"/>
    <w:rsid w:val="00C00D50"/>
    <w:rsid w:val="00C04CD6"/>
    <w:rsid w:val="00C101B0"/>
    <w:rsid w:val="00C179B8"/>
    <w:rsid w:val="00C21A27"/>
    <w:rsid w:val="00C23B08"/>
    <w:rsid w:val="00C4244E"/>
    <w:rsid w:val="00C52AC8"/>
    <w:rsid w:val="00C6676E"/>
    <w:rsid w:val="00C7225B"/>
    <w:rsid w:val="00C774E2"/>
    <w:rsid w:val="00C90A5F"/>
    <w:rsid w:val="00C932C8"/>
    <w:rsid w:val="00C9670C"/>
    <w:rsid w:val="00CA1D5E"/>
    <w:rsid w:val="00CC291B"/>
    <w:rsid w:val="00CC4BF6"/>
    <w:rsid w:val="00CE5D93"/>
    <w:rsid w:val="00CF29CA"/>
    <w:rsid w:val="00CF31C5"/>
    <w:rsid w:val="00CF5EDC"/>
    <w:rsid w:val="00D005CA"/>
    <w:rsid w:val="00D11881"/>
    <w:rsid w:val="00D279D6"/>
    <w:rsid w:val="00D421EC"/>
    <w:rsid w:val="00D449F4"/>
    <w:rsid w:val="00D52958"/>
    <w:rsid w:val="00D57513"/>
    <w:rsid w:val="00D61441"/>
    <w:rsid w:val="00D62C2E"/>
    <w:rsid w:val="00D663CA"/>
    <w:rsid w:val="00D73494"/>
    <w:rsid w:val="00D77DC2"/>
    <w:rsid w:val="00D8029F"/>
    <w:rsid w:val="00D94A41"/>
    <w:rsid w:val="00DC3136"/>
    <w:rsid w:val="00DD1BD2"/>
    <w:rsid w:val="00DE39CF"/>
    <w:rsid w:val="00DE4068"/>
    <w:rsid w:val="00DE421C"/>
    <w:rsid w:val="00E234DA"/>
    <w:rsid w:val="00E24513"/>
    <w:rsid w:val="00E263B0"/>
    <w:rsid w:val="00E41F00"/>
    <w:rsid w:val="00E52087"/>
    <w:rsid w:val="00E5281B"/>
    <w:rsid w:val="00E536C3"/>
    <w:rsid w:val="00E56B55"/>
    <w:rsid w:val="00E61FDC"/>
    <w:rsid w:val="00E71B10"/>
    <w:rsid w:val="00E80E6C"/>
    <w:rsid w:val="00E81986"/>
    <w:rsid w:val="00E821FE"/>
    <w:rsid w:val="00E85006"/>
    <w:rsid w:val="00E951DF"/>
    <w:rsid w:val="00EA038B"/>
    <w:rsid w:val="00EA26E2"/>
    <w:rsid w:val="00EC08E7"/>
    <w:rsid w:val="00EC4460"/>
    <w:rsid w:val="00EC68C9"/>
    <w:rsid w:val="00EE4AAD"/>
    <w:rsid w:val="00EE7248"/>
    <w:rsid w:val="00F15DA3"/>
    <w:rsid w:val="00F3133D"/>
    <w:rsid w:val="00F437EF"/>
    <w:rsid w:val="00F6702C"/>
    <w:rsid w:val="00F74D19"/>
    <w:rsid w:val="00F9118F"/>
    <w:rsid w:val="00F915A0"/>
    <w:rsid w:val="00FB5ADF"/>
    <w:rsid w:val="00FC07EA"/>
    <w:rsid w:val="00FC4986"/>
    <w:rsid w:val="00FE4128"/>
    <w:rsid w:val="00FE5F04"/>
    <w:rsid w:val="064BF152"/>
    <w:rsid w:val="0894E356"/>
    <w:rsid w:val="09BC6D12"/>
    <w:rsid w:val="0AF7E0BB"/>
    <w:rsid w:val="1016851B"/>
    <w:rsid w:val="10469F33"/>
    <w:rsid w:val="14F195AD"/>
    <w:rsid w:val="16F534A0"/>
    <w:rsid w:val="1871D327"/>
    <w:rsid w:val="1D9B930A"/>
    <w:rsid w:val="1E8D55F5"/>
    <w:rsid w:val="205D882B"/>
    <w:rsid w:val="23DBA195"/>
    <w:rsid w:val="23F811B6"/>
    <w:rsid w:val="2459BF1C"/>
    <w:rsid w:val="24FB0114"/>
    <w:rsid w:val="25E4DE43"/>
    <w:rsid w:val="2620C54D"/>
    <w:rsid w:val="28874005"/>
    <w:rsid w:val="32F22803"/>
    <w:rsid w:val="3582CAD6"/>
    <w:rsid w:val="36452BAA"/>
    <w:rsid w:val="36DDDDC0"/>
    <w:rsid w:val="3952A0DE"/>
    <w:rsid w:val="3CF37501"/>
    <w:rsid w:val="3EC53D9C"/>
    <w:rsid w:val="3EECE021"/>
    <w:rsid w:val="3F07B7BD"/>
    <w:rsid w:val="4D1156B8"/>
    <w:rsid w:val="4E0299A8"/>
    <w:rsid w:val="4F8398E5"/>
    <w:rsid w:val="533FF3BE"/>
    <w:rsid w:val="543757CF"/>
    <w:rsid w:val="547B26A5"/>
    <w:rsid w:val="55225CEA"/>
    <w:rsid w:val="579D1DFF"/>
    <w:rsid w:val="5F91EBFC"/>
    <w:rsid w:val="60F94E3F"/>
    <w:rsid w:val="64FC4E74"/>
    <w:rsid w:val="6AB74D4C"/>
    <w:rsid w:val="6B2820F4"/>
    <w:rsid w:val="70B3E224"/>
    <w:rsid w:val="72D6C981"/>
    <w:rsid w:val="73400819"/>
    <w:rsid w:val="75AF4FD3"/>
    <w:rsid w:val="76484D79"/>
    <w:rsid w:val="76A360BC"/>
    <w:rsid w:val="7A9B8113"/>
    <w:rsid w:val="7D63A28C"/>
    <w:rsid w:val="7D7586E9"/>
    <w:rsid w:val="7E7EF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80BA"/>
  <w15:docId w15:val="{9B2B56E9-E416-444D-B8F6-E44334A8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9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09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40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8390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733C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9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096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E4068"/>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8F09C1"/>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8F09C1"/>
    <w:rPr>
      <w:rFonts w:ascii="Calibri" w:eastAsia="Calibri" w:hAnsi="Calibri" w:cs="Calibri"/>
    </w:rPr>
  </w:style>
  <w:style w:type="paragraph" w:styleId="NoSpacing">
    <w:name w:val="No Spacing"/>
    <w:uiPriority w:val="1"/>
    <w:qFormat/>
    <w:rsid w:val="008F09C1"/>
    <w:pPr>
      <w:spacing w:after="0" w:line="240" w:lineRule="auto"/>
    </w:pPr>
  </w:style>
  <w:style w:type="character" w:customStyle="1" w:styleId="Heading4Char">
    <w:name w:val="Heading 4 Char"/>
    <w:basedOn w:val="DefaultParagraphFont"/>
    <w:link w:val="Heading4"/>
    <w:uiPriority w:val="9"/>
    <w:rsid w:val="0048390A"/>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421EC"/>
    <w:pPr>
      <w:ind w:left="720"/>
      <w:contextualSpacing/>
    </w:pPr>
  </w:style>
  <w:style w:type="character" w:styleId="Hyperlink">
    <w:name w:val="Hyperlink"/>
    <w:basedOn w:val="DefaultParagraphFont"/>
    <w:uiPriority w:val="99"/>
    <w:unhideWhenUsed/>
    <w:rsid w:val="004E41B3"/>
    <w:rPr>
      <w:color w:val="0563C1" w:themeColor="hyperlink"/>
      <w:u w:val="single"/>
    </w:rPr>
  </w:style>
  <w:style w:type="character" w:styleId="UnresolvedMention">
    <w:name w:val="Unresolved Mention"/>
    <w:basedOn w:val="DefaultParagraphFont"/>
    <w:uiPriority w:val="99"/>
    <w:semiHidden/>
    <w:unhideWhenUsed/>
    <w:rsid w:val="004E41B3"/>
    <w:rPr>
      <w:color w:val="605E5C"/>
      <w:shd w:val="clear" w:color="auto" w:fill="E1DFDD"/>
    </w:rPr>
  </w:style>
  <w:style w:type="paragraph" w:customStyle="1" w:styleId="TableParagraph">
    <w:name w:val="Table Paragraph"/>
    <w:basedOn w:val="Normal"/>
    <w:uiPriority w:val="1"/>
    <w:qFormat/>
    <w:rsid w:val="009E4B5D"/>
    <w:pPr>
      <w:widowControl w:val="0"/>
      <w:autoSpaceDE w:val="0"/>
      <w:autoSpaceDN w:val="0"/>
      <w:spacing w:after="0" w:line="258" w:lineRule="exact"/>
    </w:pPr>
    <w:rPr>
      <w:rFonts w:ascii="Calibri" w:eastAsia="Calibri" w:hAnsi="Calibri" w:cs="Calibri"/>
    </w:rPr>
  </w:style>
  <w:style w:type="character" w:styleId="CommentReference">
    <w:name w:val="annotation reference"/>
    <w:basedOn w:val="DefaultParagraphFont"/>
    <w:uiPriority w:val="99"/>
    <w:semiHidden/>
    <w:unhideWhenUsed/>
    <w:rsid w:val="00E234DA"/>
    <w:rPr>
      <w:sz w:val="16"/>
      <w:szCs w:val="16"/>
    </w:rPr>
  </w:style>
  <w:style w:type="paragraph" w:styleId="CommentText">
    <w:name w:val="annotation text"/>
    <w:basedOn w:val="Normal"/>
    <w:link w:val="CommentTextChar"/>
    <w:uiPriority w:val="99"/>
    <w:unhideWhenUsed/>
    <w:rsid w:val="00E234DA"/>
    <w:pPr>
      <w:spacing w:line="240" w:lineRule="auto"/>
    </w:pPr>
    <w:rPr>
      <w:sz w:val="20"/>
      <w:szCs w:val="20"/>
    </w:rPr>
  </w:style>
  <w:style w:type="character" w:customStyle="1" w:styleId="CommentTextChar">
    <w:name w:val="Comment Text Char"/>
    <w:basedOn w:val="DefaultParagraphFont"/>
    <w:link w:val="CommentText"/>
    <w:uiPriority w:val="99"/>
    <w:rsid w:val="00E234DA"/>
    <w:rPr>
      <w:sz w:val="20"/>
      <w:szCs w:val="20"/>
    </w:rPr>
  </w:style>
  <w:style w:type="paragraph" w:styleId="CommentSubject">
    <w:name w:val="annotation subject"/>
    <w:basedOn w:val="CommentText"/>
    <w:next w:val="CommentText"/>
    <w:link w:val="CommentSubjectChar"/>
    <w:uiPriority w:val="99"/>
    <w:semiHidden/>
    <w:unhideWhenUsed/>
    <w:rsid w:val="00E234DA"/>
    <w:rPr>
      <w:b/>
      <w:bCs/>
    </w:rPr>
  </w:style>
  <w:style w:type="character" w:customStyle="1" w:styleId="CommentSubjectChar">
    <w:name w:val="Comment Subject Char"/>
    <w:basedOn w:val="CommentTextChar"/>
    <w:link w:val="CommentSubject"/>
    <w:uiPriority w:val="99"/>
    <w:semiHidden/>
    <w:rsid w:val="00E234DA"/>
    <w:rPr>
      <w:b/>
      <w:bCs/>
      <w:sz w:val="20"/>
      <w:szCs w:val="20"/>
    </w:rPr>
  </w:style>
  <w:style w:type="paragraph" w:styleId="BalloonText">
    <w:name w:val="Balloon Text"/>
    <w:basedOn w:val="Normal"/>
    <w:link w:val="BalloonTextChar"/>
    <w:uiPriority w:val="99"/>
    <w:semiHidden/>
    <w:unhideWhenUsed/>
    <w:rsid w:val="00E234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4DA"/>
    <w:rPr>
      <w:rFonts w:ascii="Segoe UI" w:hAnsi="Segoe UI" w:cs="Segoe UI"/>
      <w:sz w:val="18"/>
      <w:szCs w:val="18"/>
    </w:rPr>
  </w:style>
  <w:style w:type="character" w:customStyle="1" w:styleId="pseditboxdisponly">
    <w:name w:val="pseditbox_disponly"/>
    <w:basedOn w:val="DefaultParagraphFont"/>
    <w:rsid w:val="000B684C"/>
  </w:style>
  <w:style w:type="paragraph" w:styleId="Revision">
    <w:name w:val="Revision"/>
    <w:hidden/>
    <w:uiPriority w:val="99"/>
    <w:semiHidden/>
    <w:rsid w:val="009D0541"/>
    <w:pPr>
      <w:spacing w:after="0" w:line="240" w:lineRule="auto"/>
    </w:pPr>
  </w:style>
  <w:style w:type="paragraph" w:styleId="FootnoteText">
    <w:name w:val="footnote text"/>
    <w:basedOn w:val="Normal"/>
    <w:link w:val="FootnoteTextChar"/>
    <w:uiPriority w:val="99"/>
    <w:semiHidden/>
    <w:unhideWhenUsed/>
    <w:rsid w:val="001949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9EA"/>
    <w:rPr>
      <w:sz w:val="20"/>
      <w:szCs w:val="20"/>
    </w:rPr>
  </w:style>
  <w:style w:type="character" w:styleId="FootnoteReference">
    <w:name w:val="footnote reference"/>
    <w:basedOn w:val="DefaultParagraphFont"/>
    <w:uiPriority w:val="99"/>
    <w:semiHidden/>
    <w:unhideWhenUsed/>
    <w:rsid w:val="001949EA"/>
    <w:rPr>
      <w:vertAlign w:val="superscript"/>
    </w:rPr>
  </w:style>
  <w:style w:type="character" w:customStyle="1" w:styleId="Heading5Char">
    <w:name w:val="Heading 5 Char"/>
    <w:basedOn w:val="DefaultParagraphFont"/>
    <w:link w:val="Heading5"/>
    <w:uiPriority w:val="9"/>
    <w:rsid w:val="001733C6"/>
    <w:rPr>
      <w:rFonts w:asciiTheme="majorHAnsi" w:eastAsiaTheme="majorEastAsia" w:hAnsiTheme="majorHAnsi" w:cstheme="majorBidi"/>
      <w:color w:val="2F5496" w:themeColor="accent1" w:themeShade="BF"/>
    </w:rPr>
  </w:style>
  <w:style w:type="character" w:customStyle="1" w:styleId="font111">
    <w:name w:val="font111"/>
    <w:basedOn w:val="DefaultParagraphFont"/>
    <w:rsid w:val="00CC4BF6"/>
    <w:rPr>
      <w:rFonts w:ascii="Calibri" w:hAnsi="Calibri" w:cs="Calibri" w:hint="default"/>
      <w:b w:val="0"/>
      <w:bCs w:val="0"/>
      <w:i w:val="0"/>
      <w:iCs w:val="0"/>
      <w:strike w:val="0"/>
      <w:dstrike w:val="0"/>
      <w:color w:val="000000"/>
      <w:sz w:val="22"/>
      <w:szCs w:val="22"/>
      <w:u w:val="none"/>
      <w:effect w:val="none"/>
    </w:rPr>
  </w:style>
  <w:style w:type="paragraph" w:styleId="Header">
    <w:name w:val="header"/>
    <w:basedOn w:val="Normal"/>
    <w:link w:val="HeaderChar"/>
    <w:uiPriority w:val="99"/>
    <w:unhideWhenUsed/>
    <w:rsid w:val="00E26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3B0"/>
  </w:style>
  <w:style w:type="paragraph" w:styleId="Footer">
    <w:name w:val="footer"/>
    <w:basedOn w:val="Normal"/>
    <w:link w:val="FooterChar"/>
    <w:uiPriority w:val="99"/>
    <w:unhideWhenUsed/>
    <w:rsid w:val="00E26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4158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aeganrobert@wisc.edu" TargetMode="External"/><Relationship Id="rId18" Type="http://schemas.openxmlformats.org/officeDocument/2006/relationships/hyperlink" Target="https://www.census.gov/programs-surveys/popest/technical-documentation/research/demographic-analysi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census.gov/coverage_measurement/pdfs/g01.pdf" TargetMode="External"/><Relationship Id="rId2" Type="http://schemas.openxmlformats.org/officeDocument/2006/relationships/numbering" Target="numbering.xml"/><Relationship Id="rId16" Type="http://schemas.openxmlformats.org/officeDocument/2006/relationships/hyperlink" Target="http://www.netmigration.wisc.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netmigration.wisc.edu"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4E163-B435-42BD-9DAE-E1B2D3A4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6909</Words>
  <Characters>39386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Net Migration Estimates, 2010-2020: Public Documentation</vt:lpstr>
    </vt:vector>
  </TitlesOfParts>
  <Company>UW-Madison Applied Population Laboratory</Company>
  <LinksUpToDate>false</LinksUpToDate>
  <CharactersWithSpaces>46203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Migration Estimates, 2010-2020: Public Documentation</dc:title>
  <dc:subject/>
  <dc:creator>DAVID EGAN-ROBERTSON</dc:creator>
  <cp:keywords/>
  <dc:description/>
  <cp:lastModifiedBy>DAVID A EGAN-ROBERTSON</cp:lastModifiedBy>
  <cp:revision>3</cp:revision>
  <dcterms:created xsi:type="dcterms:W3CDTF">2024-05-30T21:39:00Z</dcterms:created>
  <dcterms:modified xsi:type="dcterms:W3CDTF">2024-05-30T21:47:00Z</dcterms:modified>
</cp:coreProperties>
</file>